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E5ABC" w14:textId="08D1C8EA" w:rsidR="00CA1D54" w:rsidRPr="00200772" w:rsidRDefault="00803D3D" w:rsidP="00BF4A78">
      <w:pPr>
        <w:jc w:val="both"/>
        <w:rPr>
          <w:rFonts w:ascii="Times New Roman" w:hAnsi="Times New Roman" w:cs="Times New Roman"/>
          <w:sz w:val="34"/>
          <w:szCs w:val="34"/>
          <w:lang w:val="en-US"/>
        </w:rPr>
      </w:pPr>
      <w:r>
        <w:rPr>
          <w:rFonts w:ascii="Times New Roman" w:hAnsi="Times New Roman" w:cs="Times New Roman"/>
          <w:sz w:val="34"/>
          <w:szCs w:val="34"/>
          <w:lang w:val="en-US"/>
        </w:rPr>
        <w:t xml:space="preserve">Back to the Basics: Advanced Understanding of the as-defined </w:t>
      </w:r>
      <w:r w:rsidR="00EA101B" w:rsidRPr="00200772">
        <w:rPr>
          <w:rFonts w:ascii="Times New Roman" w:hAnsi="Times New Roman" w:cs="Times New Roman"/>
          <w:sz w:val="34"/>
          <w:szCs w:val="34"/>
          <w:lang w:val="en-US"/>
        </w:rPr>
        <w:t>Solid Electrolyte Interphase</w:t>
      </w:r>
      <w:r>
        <w:rPr>
          <w:rFonts w:ascii="Times New Roman" w:hAnsi="Times New Roman" w:cs="Times New Roman"/>
          <w:sz w:val="34"/>
          <w:szCs w:val="34"/>
          <w:lang w:val="en-US"/>
        </w:rPr>
        <w:t xml:space="preserve"> on Lithium Metal Electrodes </w:t>
      </w:r>
    </w:p>
    <w:p w14:paraId="58ABE7EF" w14:textId="147C066A" w:rsidR="00613AAD" w:rsidRDefault="002C5304" w:rsidP="00642E40">
      <w:pPr>
        <w:pStyle w:val="KeinLeerraum"/>
        <w:rPr>
          <w:rFonts w:ascii="Times New Roman" w:hAnsi="Times New Roman" w:cs="Times New Roman"/>
          <w:vertAlign w:val="superscript"/>
          <w:lang w:val="en-US"/>
        </w:rPr>
      </w:pPr>
      <w:r w:rsidRPr="00B42A80">
        <w:rPr>
          <w:rFonts w:ascii="Times New Roman" w:hAnsi="Times New Roman" w:cs="Times New Roman"/>
          <w:lang w:val="en-US"/>
        </w:rPr>
        <w:t xml:space="preserve">Sebastian P. </w:t>
      </w:r>
      <w:proofErr w:type="spellStart"/>
      <w:r w:rsidRPr="00B42A80">
        <w:rPr>
          <w:rFonts w:ascii="Times New Roman" w:hAnsi="Times New Roman" w:cs="Times New Roman"/>
          <w:lang w:val="en-US"/>
        </w:rPr>
        <w:t>Kü</w:t>
      </w:r>
      <w:r w:rsidR="00613AAD" w:rsidRPr="00B42A80">
        <w:rPr>
          <w:rFonts w:ascii="Times New Roman" w:hAnsi="Times New Roman" w:cs="Times New Roman"/>
          <w:lang w:val="en-US"/>
        </w:rPr>
        <w:t>hn,</w:t>
      </w:r>
      <w:r w:rsidR="00780265" w:rsidRPr="00B42A80">
        <w:rPr>
          <w:rFonts w:ascii="Times New Roman" w:hAnsi="Times New Roman" w:cs="Times New Roman"/>
          <w:vertAlign w:val="superscript"/>
          <w:lang w:val="en-US"/>
        </w:rPr>
        <w:t>a</w:t>
      </w:r>
      <w:proofErr w:type="spellEnd"/>
      <w:r w:rsidR="00613AAD" w:rsidRPr="00B42A80">
        <w:rPr>
          <w:rFonts w:ascii="Times New Roman" w:hAnsi="Times New Roman" w:cs="Times New Roman"/>
          <w:lang w:val="en-US"/>
        </w:rPr>
        <w:t xml:space="preserve"> Felix Pfeiffer,</w:t>
      </w:r>
      <w:r w:rsidR="00780265" w:rsidRPr="00B42A80">
        <w:rPr>
          <w:rFonts w:ascii="Times New Roman" w:hAnsi="Times New Roman" w:cs="Times New Roman"/>
          <w:vertAlign w:val="superscript"/>
          <w:lang w:val="en-US"/>
        </w:rPr>
        <w:t xml:space="preserve"> a</w:t>
      </w:r>
      <w:r w:rsidR="00613AAD" w:rsidRPr="00B42A80">
        <w:rPr>
          <w:rFonts w:ascii="Times New Roman" w:hAnsi="Times New Roman" w:cs="Times New Roman"/>
          <w:lang w:val="en-US"/>
        </w:rPr>
        <w:t xml:space="preserve"> Marlena </w:t>
      </w:r>
      <w:proofErr w:type="spellStart"/>
      <w:r w:rsidR="00613AAD" w:rsidRPr="00B42A80">
        <w:rPr>
          <w:rFonts w:ascii="Times New Roman" w:hAnsi="Times New Roman" w:cs="Times New Roman"/>
          <w:lang w:val="en-US"/>
        </w:rPr>
        <w:t>Bela,</w:t>
      </w:r>
      <w:r w:rsidR="00780265" w:rsidRPr="00B42A80">
        <w:rPr>
          <w:rFonts w:ascii="Times New Roman" w:hAnsi="Times New Roman" w:cs="Times New Roman"/>
          <w:vertAlign w:val="superscript"/>
          <w:lang w:val="en-US"/>
        </w:rPr>
        <w:t>b</w:t>
      </w:r>
      <w:proofErr w:type="spellEnd"/>
      <w:r w:rsidR="00613AAD" w:rsidRPr="00B42A80">
        <w:rPr>
          <w:rFonts w:ascii="Times New Roman" w:hAnsi="Times New Roman" w:cs="Times New Roman"/>
          <w:lang w:val="en-US"/>
        </w:rPr>
        <w:t xml:space="preserve"> Uta</w:t>
      </w:r>
      <w:r w:rsidR="00EA101B" w:rsidRPr="00B42A80">
        <w:rPr>
          <w:rFonts w:ascii="Times New Roman" w:hAnsi="Times New Roman" w:cs="Times New Roman"/>
          <w:lang w:val="en-US"/>
        </w:rPr>
        <w:t xml:space="preserve"> </w:t>
      </w:r>
      <w:proofErr w:type="spellStart"/>
      <w:r w:rsidR="00EA101B" w:rsidRPr="00B42A80">
        <w:rPr>
          <w:rFonts w:ascii="Times New Roman" w:hAnsi="Times New Roman" w:cs="Times New Roman"/>
          <w:lang w:val="en-US"/>
        </w:rPr>
        <w:t>Rodehorst</w:t>
      </w:r>
      <w:r w:rsidR="00613AAD" w:rsidRPr="00B42A80">
        <w:rPr>
          <w:rFonts w:ascii="Times New Roman" w:hAnsi="Times New Roman" w:cs="Times New Roman"/>
          <w:lang w:val="en-US"/>
        </w:rPr>
        <w:t>,</w:t>
      </w:r>
      <w:r w:rsidR="00780265" w:rsidRPr="00B42A80">
        <w:rPr>
          <w:rFonts w:ascii="Times New Roman" w:hAnsi="Times New Roman" w:cs="Times New Roman"/>
          <w:vertAlign w:val="superscript"/>
          <w:lang w:val="en-US"/>
        </w:rPr>
        <w:t>b</w:t>
      </w:r>
      <w:proofErr w:type="spellEnd"/>
      <w:r w:rsidR="00CE15A6" w:rsidRPr="00B42A80">
        <w:rPr>
          <w:rFonts w:ascii="Times New Roman" w:hAnsi="Times New Roman" w:cs="Times New Roman"/>
          <w:lang w:val="en-US"/>
        </w:rPr>
        <w:t xml:space="preserve"> Dominik </w:t>
      </w:r>
      <w:proofErr w:type="spellStart"/>
      <w:r w:rsidR="00CE15A6" w:rsidRPr="00B42A80">
        <w:rPr>
          <w:rFonts w:ascii="Times New Roman" w:hAnsi="Times New Roman" w:cs="Times New Roman"/>
          <w:lang w:val="en-US"/>
        </w:rPr>
        <w:t>Weintz,</w:t>
      </w:r>
      <w:r w:rsidR="00CE15A6" w:rsidRPr="00B42A80">
        <w:rPr>
          <w:rFonts w:ascii="Times New Roman" w:hAnsi="Times New Roman" w:cs="Times New Roman"/>
          <w:vertAlign w:val="superscript"/>
          <w:lang w:val="en-US"/>
        </w:rPr>
        <w:t>a</w:t>
      </w:r>
      <w:proofErr w:type="spellEnd"/>
      <w:r w:rsidR="00613AAD" w:rsidRPr="00B42A80">
        <w:rPr>
          <w:rFonts w:ascii="Times New Roman" w:hAnsi="Times New Roman" w:cs="Times New Roman"/>
          <w:lang w:val="en-US"/>
        </w:rPr>
        <w:t xml:space="preserve"> Marian </w:t>
      </w:r>
      <w:proofErr w:type="spellStart"/>
      <w:r w:rsidR="00613AAD" w:rsidRPr="00B42A80">
        <w:rPr>
          <w:rFonts w:ascii="Times New Roman" w:hAnsi="Times New Roman" w:cs="Times New Roman"/>
          <w:lang w:val="en-US"/>
        </w:rPr>
        <w:t>Stan,</w:t>
      </w:r>
      <w:r w:rsidR="00780265" w:rsidRPr="00B42A80">
        <w:rPr>
          <w:rFonts w:ascii="Times New Roman" w:hAnsi="Times New Roman" w:cs="Times New Roman"/>
          <w:vertAlign w:val="superscript"/>
          <w:lang w:val="en-US"/>
        </w:rPr>
        <w:t>b</w:t>
      </w:r>
      <w:proofErr w:type="spellEnd"/>
      <w:r w:rsidR="00613AAD" w:rsidRPr="00B42A80">
        <w:rPr>
          <w:rFonts w:ascii="Times New Roman" w:hAnsi="Times New Roman" w:cs="Times New Roman"/>
          <w:lang w:val="en-US"/>
        </w:rPr>
        <w:t xml:space="preserve"> Masoud </w:t>
      </w:r>
      <w:proofErr w:type="spellStart"/>
      <w:r w:rsidR="00613AAD" w:rsidRPr="00B42A80">
        <w:rPr>
          <w:rFonts w:ascii="Times New Roman" w:hAnsi="Times New Roman" w:cs="Times New Roman"/>
          <w:lang w:val="en-US"/>
        </w:rPr>
        <w:t>Baghernejad,</w:t>
      </w:r>
      <w:r w:rsidR="00780265" w:rsidRPr="00B42A80">
        <w:rPr>
          <w:rFonts w:ascii="Times New Roman" w:hAnsi="Times New Roman" w:cs="Times New Roman"/>
          <w:vertAlign w:val="superscript"/>
          <w:lang w:val="en-US"/>
        </w:rPr>
        <w:t>a</w:t>
      </w:r>
      <w:proofErr w:type="spellEnd"/>
      <w:r w:rsidR="00613AAD" w:rsidRPr="00B42A80">
        <w:rPr>
          <w:rFonts w:ascii="Times New Roman" w:hAnsi="Times New Roman" w:cs="Times New Roman"/>
          <w:lang w:val="en-US"/>
        </w:rPr>
        <w:t xml:space="preserve"> Martin </w:t>
      </w:r>
      <w:proofErr w:type="spellStart"/>
      <w:r w:rsidR="00613AAD" w:rsidRPr="00B42A80">
        <w:rPr>
          <w:rFonts w:ascii="Times New Roman" w:hAnsi="Times New Roman" w:cs="Times New Roman"/>
          <w:lang w:val="en-US"/>
        </w:rPr>
        <w:t>Winter,</w:t>
      </w:r>
      <w:r w:rsidR="00780265" w:rsidRPr="00B42A80">
        <w:rPr>
          <w:rFonts w:ascii="Times New Roman" w:hAnsi="Times New Roman" w:cs="Times New Roman"/>
          <w:vertAlign w:val="superscript"/>
          <w:lang w:val="en-US"/>
        </w:rPr>
        <w:t>a,b</w:t>
      </w:r>
      <w:proofErr w:type="spellEnd"/>
      <w:r w:rsidR="00CE15A6" w:rsidRPr="00B42A80">
        <w:rPr>
          <w:rFonts w:ascii="Times New Roman" w:hAnsi="Times New Roman" w:cs="Times New Roman"/>
          <w:vertAlign w:val="superscript"/>
          <w:lang w:val="en-US"/>
        </w:rPr>
        <w:t xml:space="preserve"> </w:t>
      </w:r>
      <w:r w:rsidR="00CE15A6" w:rsidRPr="00B42A80">
        <w:rPr>
          <w:rFonts w:ascii="Times New Roman" w:hAnsi="Times New Roman" w:cs="Times New Roman"/>
          <w:lang w:val="en-US"/>
        </w:rPr>
        <w:t>and</w:t>
      </w:r>
      <w:r w:rsidR="00613AAD" w:rsidRPr="00B42A80">
        <w:rPr>
          <w:rFonts w:ascii="Times New Roman" w:hAnsi="Times New Roman" w:cs="Times New Roman"/>
          <w:lang w:val="en-US"/>
        </w:rPr>
        <w:t xml:space="preserve"> Isidora Cekic-Laskovic</w:t>
      </w:r>
      <w:r w:rsidR="00780265" w:rsidRPr="00B42A80">
        <w:rPr>
          <w:rFonts w:ascii="Times New Roman" w:hAnsi="Times New Roman" w:cs="Times New Roman"/>
          <w:vertAlign w:val="superscript"/>
          <w:lang w:val="en-US"/>
        </w:rPr>
        <w:t>a</w:t>
      </w:r>
    </w:p>
    <w:p w14:paraId="750EC33B" w14:textId="77777777" w:rsidR="00B42A80" w:rsidRPr="00B42A80" w:rsidRDefault="00B42A80" w:rsidP="00642E40">
      <w:pPr>
        <w:pStyle w:val="KeinLeerraum"/>
        <w:rPr>
          <w:rFonts w:ascii="Times New Roman" w:hAnsi="Times New Roman" w:cs="Times New Roman"/>
          <w:lang w:val="en-US"/>
        </w:rPr>
      </w:pPr>
    </w:p>
    <w:p w14:paraId="73DD74BF" w14:textId="6A0D0537" w:rsidR="00780265" w:rsidRPr="00805F1D" w:rsidRDefault="00780265" w:rsidP="00733D79">
      <w:pPr>
        <w:jc w:val="both"/>
        <w:rPr>
          <w:rFonts w:ascii="Times New Roman" w:hAnsi="Times New Roman" w:cs="Times New Roman"/>
          <w:i/>
          <w:sz w:val="16"/>
          <w:szCs w:val="24"/>
        </w:rPr>
      </w:pPr>
      <w:proofErr w:type="spellStart"/>
      <w:r w:rsidRPr="00805F1D">
        <w:rPr>
          <w:rFonts w:ascii="Times New Roman" w:hAnsi="Times New Roman" w:cs="Times New Roman"/>
          <w:i/>
          <w:sz w:val="16"/>
          <w:szCs w:val="24"/>
          <w:vertAlign w:val="superscript"/>
        </w:rPr>
        <w:t>a</w:t>
      </w:r>
      <w:r w:rsidRPr="00805F1D">
        <w:rPr>
          <w:rFonts w:ascii="Times New Roman" w:hAnsi="Times New Roman" w:cs="Times New Roman"/>
          <w:i/>
          <w:sz w:val="16"/>
          <w:szCs w:val="24"/>
        </w:rPr>
        <w:t>Forschungszentrum</w:t>
      </w:r>
      <w:proofErr w:type="spellEnd"/>
      <w:r w:rsidRPr="00805F1D">
        <w:rPr>
          <w:rFonts w:ascii="Times New Roman" w:hAnsi="Times New Roman" w:cs="Times New Roman"/>
          <w:i/>
          <w:sz w:val="16"/>
          <w:szCs w:val="24"/>
        </w:rPr>
        <w:t xml:space="preserve"> Jülich GmbH, Helmholtz-Institute Münster (IEK-12), Corrensstrasse 46, 48149 Münster, Germany, E-mail: i.cekic</w:t>
      </w:r>
      <w:r w:rsidR="00FC47EB">
        <w:rPr>
          <w:rFonts w:ascii="Times New Roman" w:hAnsi="Times New Roman" w:cs="Times New Roman"/>
          <w:i/>
          <w:sz w:val="16"/>
          <w:szCs w:val="24"/>
        </w:rPr>
        <w:noBreakHyphen/>
      </w:r>
      <w:r w:rsidRPr="00805F1D">
        <w:rPr>
          <w:rFonts w:ascii="Times New Roman" w:hAnsi="Times New Roman" w:cs="Times New Roman"/>
          <w:i/>
          <w:sz w:val="16"/>
          <w:szCs w:val="24"/>
        </w:rPr>
        <w:t>laskovic@fz-juelich.de</w:t>
      </w:r>
    </w:p>
    <w:p w14:paraId="5BA7414F" w14:textId="09076100" w:rsidR="00780265" w:rsidRPr="00805F1D" w:rsidRDefault="00780265" w:rsidP="00733D79">
      <w:pPr>
        <w:jc w:val="both"/>
        <w:rPr>
          <w:rFonts w:ascii="Times New Roman" w:hAnsi="Times New Roman" w:cs="Times New Roman"/>
          <w:i/>
          <w:sz w:val="16"/>
          <w:szCs w:val="24"/>
          <w:lang w:val="en-US"/>
        </w:rPr>
      </w:pPr>
      <w:proofErr w:type="spellStart"/>
      <w:r w:rsidRPr="00805F1D">
        <w:rPr>
          <w:rFonts w:ascii="Times New Roman" w:hAnsi="Times New Roman" w:cs="Times New Roman"/>
          <w:i/>
          <w:sz w:val="16"/>
          <w:szCs w:val="24"/>
          <w:vertAlign w:val="superscript"/>
          <w:lang w:val="en-US"/>
        </w:rPr>
        <w:t>b</w:t>
      </w:r>
      <w:r w:rsidRPr="00805F1D">
        <w:rPr>
          <w:rFonts w:ascii="Times New Roman" w:hAnsi="Times New Roman" w:cs="Times New Roman"/>
          <w:i/>
          <w:sz w:val="16"/>
          <w:szCs w:val="24"/>
          <w:lang w:val="en-US"/>
        </w:rPr>
        <w:t>University</w:t>
      </w:r>
      <w:proofErr w:type="spellEnd"/>
      <w:r w:rsidRPr="00805F1D">
        <w:rPr>
          <w:rFonts w:ascii="Times New Roman" w:hAnsi="Times New Roman" w:cs="Times New Roman"/>
          <w:i/>
          <w:sz w:val="16"/>
          <w:szCs w:val="24"/>
          <w:lang w:val="en-US"/>
        </w:rPr>
        <w:t xml:space="preserve"> of Münster, MEET Battery Research Center, Corrensstrasse 46, 48149 Münster, Germany</w:t>
      </w:r>
    </w:p>
    <w:p w14:paraId="55ED948A" w14:textId="77777777" w:rsidR="00613AAD" w:rsidRPr="00CE15A6" w:rsidRDefault="00613AAD" w:rsidP="00733D79">
      <w:pPr>
        <w:jc w:val="both"/>
        <w:rPr>
          <w:rFonts w:ascii="Times New Roman" w:hAnsi="Times New Roman" w:cs="Times New Roman"/>
          <w:sz w:val="24"/>
          <w:szCs w:val="24"/>
          <w:lang w:val="en-US"/>
        </w:rPr>
      </w:pPr>
    </w:p>
    <w:p w14:paraId="16684E5F" w14:textId="7D385FA1" w:rsidR="00613AAD" w:rsidRPr="00642E40" w:rsidRDefault="00642E40" w:rsidP="00642E40">
      <w:pPr>
        <w:pStyle w:val="KeinLeerraum"/>
        <w:rPr>
          <w:rFonts w:ascii="Times New Roman" w:hAnsi="Times New Roman" w:cs="Times New Roman"/>
          <w:b/>
          <w:sz w:val="20"/>
          <w:lang w:val="en-US"/>
        </w:rPr>
      </w:pPr>
      <w:r>
        <w:rPr>
          <w:rFonts w:ascii="Times New Roman" w:hAnsi="Times New Roman" w:cs="Times New Roman"/>
          <w:b/>
          <w:sz w:val="20"/>
          <w:lang w:val="en-US"/>
        </w:rPr>
        <w:t>Abstract</w:t>
      </w:r>
    </w:p>
    <w:p w14:paraId="04E653EE" w14:textId="77777777" w:rsidR="00642E40" w:rsidRPr="00642E40" w:rsidRDefault="00642E40" w:rsidP="00642E40">
      <w:pPr>
        <w:pStyle w:val="KeinLeerraum"/>
        <w:rPr>
          <w:rFonts w:ascii="Times New Roman" w:hAnsi="Times New Roman" w:cs="Times New Roman"/>
          <w:sz w:val="20"/>
          <w:lang w:val="en-US"/>
        </w:rPr>
      </w:pPr>
    </w:p>
    <w:p w14:paraId="169BD493" w14:textId="03A65210" w:rsidR="00D34F36" w:rsidRDefault="00233D48" w:rsidP="00733D79">
      <w:pPr>
        <w:jc w:val="both"/>
        <w:rPr>
          <w:rFonts w:ascii="Times New Roman" w:hAnsi="Times New Roman" w:cs="Times New Roman"/>
          <w:sz w:val="18"/>
          <w:szCs w:val="24"/>
          <w:lang w:val="en-US"/>
        </w:rPr>
      </w:pPr>
      <w:r>
        <w:rPr>
          <w:rFonts w:ascii="Times New Roman" w:hAnsi="Times New Roman" w:cs="Times New Roman"/>
          <w:sz w:val="18"/>
          <w:szCs w:val="24"/>
          <w:lang w:val="en-US"/>
        </w:rPr>
        <w:t xml:space="preserve">The design and control of the solid electrolyte interphase (SEI) is essential for the implementation of rechargeable lithium metal based batteries and  has been a major research theme of lithium metal electrodes for over 50 years. However, research on an as-defined SEI is challenging due to the inevitable presence of a native passivation layer (NPL), commonly contaminating an </w:t>
      </w:r>
      <w:r>
        <w:rPr>
          <w:rFonts w:ascii="Times New Roman" w:hAnsi="Times New Roman" w:cs="Times New Roman"/>
          <w:i/>
          <w:sz w:val="18"/>
          <w:szCs w:val="24"/>
          <w:lang w:val="en-US"/>
        </w:rPr>
        <w:t xml:space="preserve">in situ </w:t>
      </w:r>
      <w:r>
        <w:rPr>
          <w:rFonts w:ascii="Times New Roman" w:hAnsi="Times New Roman" w:cs="Times New Roman"/>
          <w:sz w:val="18"/>
          <w:szCs w:val="24"/>
          <w:lang w:val="en-US"/>
        </w:rPr>
        <w:t>formed SEI and its characteristics. Herein we present an original study on an uncontaminated SEI being an exclusive reaction product of lithium and a liquid aprotic electrolyte, highlighting the largely negative influence of the NPL on different SEI characteristics and functional additive evaluation. A preformed as-defined SEI (</w:t>
      </w:r>
      <w:proofErr w:type="spellStart"/>
      <w:r>
        <w:rPr>
          <w:rFonts w:ascii="Times New Roman" w:hAnsi="Times New Roman" w:cs="Times New Roman"/>
          <w:sz w:val="18"/>
          <w:szCs w:val="24"/>
          <w:lang w:val="en-US"/>
        </w:rPr>
        <w:t>pSEI</w:t>
      </w:r>
      <w:proofErr w:type="spellEnd"/>
      <w:r>
        <w:rPr>
          <w:rFonts w:ascii="Times New Roman" w:hAnsi="Times New Roman" w:cs="Times New Roman"/>
          <w:sz w:val="18"/>
          <w:szCs w:val="24"/>
          <w:lang w:val="en-US"/>
        </w:rPr>
        <w:t xml:space="preserve">) was generated by an in-house designed advanced pre-treatment method, ensuring high reproducibility and exclusion of the NPL by cutting and pressing lithium metal in solution/electrolyte. The implementation of a </w:t>
      </w:r>
      <w:proofErr w:type="spellStart"/>
      <w:r>
        <w:rPr>
          <w:rFonts w:ascii="Times New Roman" w:hAnsi="Times New Roman" w:cs="Times New Roman"/>
          <w:sz w:val="18"/>
          <w:szCs w:val="24"/>
          <w:lang w:val="en-US"/>
        </w:rPr>
        <w:t>pSEI</w:t>
      </w:r>
      <w:proofErr w:type="spellEnd"/>
      <w:r>
        <w:rPr>
          <w:rFonts w:ascii="Times New Roman" w:hAnsi="Times New Roman" w:cs="Times New Roman"/>
          <w:sz w:val="18"/>
          <w:szCs w:val="24"/>
          <w:lang w:val="en-US"/>
        </w:rPr>
        <w:t xml:space="preserve"> allows for a systematic study and an unclouded comparison of the two common functional additives vinylene carbonate (VC) and fluoroethylene carbonate (FEC) in a molar equal setting. The introduction of an as-defined SEI allowed to clearly distinguish between enhancing influence on the SEI characteristics and full cell performance by FEC and the largely negative effect of VC on different SEI characteristics.</w:t>
      </w:r>
    </w:p>
    <w:p w14:paraId="2EAA73CA" w14:textId="7B940FAA" w:rsidR="009F2841" w:rsidRPr="00194405" w:rsidRDefault="00D34F36" w:rsidP="009F2841">
      <w:pPr>
        <w:jc w:val="both"/>
        <w:rPr>
          <w:lang w:val="en-US"/>
        </w:rPr>
      </w:pPr>
      <w:r>
        <w:rPr>
          <w:rFonts w:ascii="Times New Roman" w:hAnsi="Times New Roman" w:cs="Times New Roman"/>
          <w:i/>
          <w:sz w:val="18"/>
          <w:szCs w:val="24"/>
          <w:lang w:val="en-US"/>
        </w:rPr>
        <w:t xml:space="preserve">Keywords: Lithium metal; </w:t>
      </w:r>
      <w:r w:rsidR="00B27A73">
        <w:rPr>
          <w:rFonts w:ascii="Times New Roman" w:hAnsi="Times New Roman" w:cs="Times New Roman"/>
          <w:i/>
          <w:sz w:val="18"/>
          <w:szCs w:val="24"/>
          <w:lang w:val="en-US"/>
        </w:rPr>
        <w:t>solid electrolyte interphase</w:t>
      </w:r>
      <w:r w:rsidR="00411E37">
        <w:rPr>
          <w:rFonts w:ascii="Times New Roman" w:hAnsi="Times New Roman" w:cs="Times New Roman"/>
          <w:i/>
          <w:sz w:val="18"/>
          <w:szCs w:val="24"/>
          <w:lang w:val="en-US"/>
        </w:rPr>
        <w:t xml:space="preserve"> (SEI)</w:t>
      </w:r>
      <w:r>
        <w:rPr>
          <w:rFonts w:ascii="Times New Roman" w:hAnsi="Times New Roman" w:cs="Times New Roman"/>
          <w:i/>
          <w:sz w:val="18"/>
          <w:szCs w:val="24"/>
          <w:lang w:val="en-US"/>
        </w:rPr>
        <w:t xml:space="preserve">; native passivation layer; liquid electrolyte; </w:t>
      </w:r>
      <w:r w:rsidR="00B27A73">
        <w:rPr>
          <w:rFonts w:ascii="Times New Roman" w:hAnsi="Times New Roman" w:cs="Times New Roman"/>
          <w:i/>
          <w:sz w:val="18"/>
          <w:szCs w:val="24"/>
          <w:lang w:val="en-US"/>
        </w:rPr>
        <w:t xml:space="preserve">functional </w:t>
      </w:r>
      <w:r w:rsidR="00411E37">
        <w:rPr>
          <w:rFonts w:ascii="Times New Roman" w:hAnsi="Times New Roman" w:cs="Times New Roman"/>
          <w:i/>
          <w:sz w:val="18"/>
          <w:szCs w:val="24"/>
          <w:lang w:val="en-US"/>
        </w:rPr>
        <w:t xml:space="preserve">electrolyte </w:t>
      </w:r>
      <w:r w:rsidR="00B27A73">
        <w:rPr>
          <w:rFonts w:ascii="Times New Roman" w:hAnsi="Times New Roman" w:cs="Times New Roman"/>
          <w:i/>
          <w:sz w:val="18"/>
          <w:szCs w:val="24"/>
          <w:lang w:val="en-US"/>
        </w:rPr>
        <w:t>additives</w:t>
      </w:r>
      <w:r w:rsidR="007A31E9">
        <w:rPr>
          <w:rFonts w:ascii="Times New Roman" w:hAnsi="Times New Roman" w:cs="Times New Roman"/>
          <w:i/>
          <w:sz w:val="18"/>
          <w:szCs w:val="24"/>
          <w:lang w:val="en-US"/>
        </w:rPr>
        <w:t>; lithium metal pre</w:t>
      </w:r>
      <w:r w:rsidR="00807574">
        <w:rPr>
          <w:rFonts w:ascii="Times New Roman" w:hAnsi="Times New Roman" w:cs="Times New Roman"/>
          <w:i/>
          <w:sz w:val="18"/>
          <w:szCs w:val="24"/>
          <w:lang w:val="en-US"/>
        </w:rPr>
        <w:t>-</w:t>
      </w:r>
      <w:r w:rsidR="007A31E9">
        <w:rPr>
          <w:rFonts w:ascii="Times New Roman" w:hAnsi="Times New Roman" w:cs="Times New Roman"/>
          <w:i/>
          <w:sz w:val="18"/>
          <w:szCs w:val="24"/>
          <w:lang w:val="en-US"/>
        </w:rPr>
        <w:t>treatment</w:t>
      </w:r>
    </w:p>
    <w:p w14:paraId="153D4A08" w14:textId="77777777" w:rsidR="009F2841" w:rsidRDefault="009F2841" w:rsidP="00733D79">
      <w:pPr>
        <w:jc w:val="both"/>
        <w:rPr>
          <w:rFonts w:ascii="Times New Roman" w:hAnsi="Times New Roman" w:cs="Times New Roman"/>
          <w:sz w:val="24"/>
          <w:szCs w:val="24"/>
          <w:lang w:val="en-US"/>
        </w:rPr>
      </w:pPr>
    </w:p>
    <w:p w14:paraId="755645F3" w14:textId="722BCBFB" w:rsidR="00613AAD" w:rsidRPr="00CE15A6" w:rsidRDefault="00613AAD" w:rsidP="00733D79">
      <w:pPr>
        <w:jc w:val="both"/>
        <w:rPr>
          <w:rFonts w:ascii="Times New Roman" w:hAnsi="Times New Roman" w:cs="Times New Roman"/>
          <w:sz w:val="24"/>
          <w:szCs w:val="24"/>
          <w:lang w:val="en-US"/>
        </w:rPr>
      </w:pPr>
      <w:r w:rsidRPr="00CE15A6">
        <w:rPr>
          <w:rFonts w:ascii="Times New Roman" w:hAnsi="Times New Roman" w:cs="Times New Roman"/>
          <w:sz w:val="24"/>
          <w:szCs w:val="24"/>
          <w:lang w:val="en-US"/>
        </w:rPr>
        <w:br w:type="page"/>
      </w:r>
      <w:bookmarkStart w:id="0" w:name="_GoBack"/>
      <w:bookmarkEnd w:id="0"/>
    </w:p>
    <w:p w14:paraId="09C66FCB" w14:textId="674F2EA5" w:rsidR="00613AAD" w:rsidRPr="00FC47EB" w:rsidRDefault="005916BE" w:rsidP="009F2841">
      <w:pPr>
        <w:pStyle w:val="MT1"/>
      </w:pPr>
      <w:r w:rsidRPr="00FC47EB">
        <w:lastRenderedPageBreak/>
        <w:t>Introduction</w:t>
      </w:r>
    </w:p>
    <w:p w14:paraId="771FC79B" w14:textId="78DCC888" w:rsidR="00467D5F" w:rsidRPr="00D34F36" w:rsidRDefault="00613AAD" w:rsidP="00775373">
      <w:pPr>
        <w:pStyle w:val="Beschriftung"/>
        <w:rPr>
          <w:lang w:val="en-US"/>
        </w:rPr>
      </w:pPr>
      <w:r w:rsidRPr="00FC47EB">
        <w:rPr>
          <w:lang w:val="en-US"/>
        </w:rPr>
        <w:t xml:space="preserve">Today more than ever before, </w:t>
      </w:r>
      <w:r w:rsidR="00EA101B" w:rsidRPr="00FC47EB">
        <w:rPr>
          <w:lang w:val="en-US"/>
        </w:rPr>
        <w:t>l</w:t>
      </w:r>
      <w:r w:rsidRPr="00FC47EB">
        <w:rPr>
          <w:lang w:val="en-US"/>
        </w:rPr>
        <w:t xml:space="preserve">ithium metal is regarded as a promising anode material for future high energy density lithium metal batteries (LMB), and is even considered as </w:t>
      </w:r>
      <w:r w:rsidR="002567D8" w:rsidRPr="00FC47EB">
        <w:rPr>
          <w:lang w:val="en-US"/>
        </w:rPr>
        <w:t xml:space="preserve">one of many </w:t>
      </w:r>
      <w:r w:rsidRPr="00FC47EB">
        <w:rPr>
          <w:lang w:val="en-US"/>
        </w:rPr>
        <w:t>“holy grail</w:t>
      </w:r>
      <w:r w:rsidR="002567D8" w:rsidRPr="00FC47EB">
        <w:rPr>
          <w:lang w:val="en-US"/>
        </w:rPr>
        <w:t>s</w:t>
      </w:r>
      <w:r w:rsidRPr="00FC47EB">
        <w:rPr>
          <w:lang w:val="en-US"/>
        </w:rPr>
        <w:t>” of battery research.</w:t>
      </w:r>
      <w:r w:rsidRPr="00FC47EB">
        <w:rPr>
          <w:noProof/>
          <w:lang w:val="en-US"/>
        </w:rPr>
        <w:t>[1–4]</w:t>
      </w:r>
      <w:r w:rsidRPr="00FC47EB">
        <w:rPr>
          <w:lang w:val="en-US"/>
        </w:rPr>
        <w:t xml:space="preserve"> </w:t>
      </w:r>
      <w:r w:rsidR="007A31E9" w:rsidRPr="00FC47EB">
        <w:rPr>
          <w:lang w:val="en-US"/>
        </w:rPr>
        <w:t>Its</w:t>
      </w:r>
      <w:r w:rsidRPr="00FC47EB">
        <w:rPr>
          <w:lang w:val="en-US"/>
        </w:rPr>
        <w:t xml:space="preserve"> high theoreti</w:t>
      </w:r>
      <w:r w:rsidR="00BD33CD" w:rsidRPr="00FC47EB">
        <w:rPr>
          <w:lang w:val="en-US"/>
        </w:rPr>
        <w:t xml:space="preserve">cal specific capacity (3860 mAh </w:t>
      </w:r>
      <w:r w:rsidRPr="00FC47EB">
        <w:rPr>
          <w:lang w:val="en-US"/>
        </w:rPr>
        <w:t>g</w:t>
      </w:r>
      <w:r w:rsidR="00BD33CD" w:rsidRPr="00FC47EB">
        <w:rPr>
          <w:vertAlign w:val="superscript"/>
          <w:lang w:val="en-US"/>
        </w:rPr>
        <w:t>-1</w:t>
      </w:r>
      <w:r w:rsidRPr="00FC47EB">
        <w:rPr>
          <w:lang w:val="en-US"/>
        </w:rPr>
        <w:t xml:space="preserve">), as well as the lowest </w:t>
      </w:r>
      <w:r w:rsidR="002567D8" w:rsidRPr="00FC47EB">
        <w:rPr>
          <w:lang w:val="en-US"/>
        </w:rPr>
        <w:t xml:space="preserve">standard reduction </w:t>
      </w:r>
      <w:r w:rsidRPr="00FC47EB">
        <w:rPr>
          <w:lang w:val="en-US"/>
        </w:rPr>
        <w:t xml:space="preserve">potential (−3.04 V </w:t>
      </w:r>
      <w:r w:rsidRPr="00FC47EB">
        <w:rPr>
          <w:i/>
          <w:lang w:val="en-US"/>
        </w:rPr>
        <w:t>vs.</w:t>
      </w:r>
      <w:r w:rsidRPr="00FC47EB">
        <w:rPr>
          <w:lang w:val="en-US"/>
        </w:rPr>
        <w:t xml:space="preserve"> standard hydrogen electrode), make it </w:t>
      </w:r>
      <w:r w:rsidR="002567D8" w:rsidRPr="00FC47EB">
        <w:rPr>
          <w:lang w:val="en-US"/>
        </w:rPr>
        <w:t xml:space="preserve">an </w:t>
      </w:r>
      <w:r w:rsidRPr="00FC47EB">
        <w:rPr>
          <w:lang w:val="en-US"/>
        </w:rPr>
        <w:t>ideal materi</w:t>
      </w:r>
      <w:r w:rsidR="00467D5F" w:rsidRPr="00FC47EB">
        <w:rPr>
          <w:lang w:val="en-US"/>
        </w:rPr>
        <w:t>al for future mobile batteries.</w:t>
      </w:r>
      <w:r w:rsidRPr="00FC47EB">
        <w:rPr>
          <w:noProof/>
          <w:lang w:val="en-US"/>
        </w:rPr>
        <w:t>[5–9]</w:t>
      </w:r>
      <w:r w:rsidRPr="00FC47EB">
        <w:rPr>
          <w:lang w:val="en-US"/>
        </w:rPr>
        <w:t xml:space="preserve"> </w:t>
      </w:r>
      <w:r w:rsidR="00642E40" w:rsidRPr="00FC47EB">
        <w:rPr>
          <w:lang w:val="en-US"/>
        </w:rPr>
        <w:t>However,</w:t>
      </w:r>
      <w:r w:rsidR="00BD140E" w:rsidRPr="00FC47EB">
        <w:rPr>
          <w:lang w:val="en-US"/>
        </w:rPr>
        <w:t xml:space="preserve"> the </w:t>
      </w:r>
      <w:r w:rsidR="00FF3A0B" w:rsidRPr="00FC47EB">
        <w:rPr>
          <w:lang w:val="en-US"/>
        </w:rPr>
        <w:t>tend</w:t>
      </w:r>
      <w:r w:rsidR="009659B5" w:rsidRPr="00FC47EB">
        <w:rPr>
          <w:lang w:val="en-US"/>
        </w:rPr>
        <w:t>e</w:t>
      </w:r>
      <w:r w:rsidR="00FF3A0B" w:rsidRPr="00FC47EB">
        <w:rPr>
          <w:lang w:val="en-US"/>
        </w:rPr>
        <w:t>ncy</w:t>
      </w:r>
      <w:r w:rsidR="00132578" w:rsidRPr="00FC47EB">
        <w:rPr>
          <w:lang w:val="en-US"/>
        </w:rPr>
        <w:t xml:space="preserve"> of lithium metal to form a</w:t>
      </w:r>
      <w:r w:rsidRPr="00FC47EB">
        <w:rPr>
          <w:lang w:val="en-US"/>
        </w:rPr>
        <w:t xml:space="preserve"> </w:t>
      </w:r>
      <w:r w:rsidR="0075243A" w:rsidRPr="00FC47EB">
        <w:rPr>
          <w:lang w:val="en-US"/>
        </w:rPr>
        <w:t>solid electrolyte</w:t>
      </w:r>
      <w:r w:rsidR="0075243A" w:rsidRPr="00D34F36">
        <w:rPr>
          <w:lang w:val="en-US"/>
        </w:rPr>
        <w:t xml:space="preserve"> interphase (</w:t>
      </w:r>
      <w:r w:rsidRPr="00D34F36">
        <w:rPr>
          <w:lang w:val="en-US"/>
        </w:rPr>
        <w:t>SEI</w:t>
      </w:r>
      <w:r w:rsidR="0075243A" w:rsidRPr="00D34F36">
        <w:rPr>
          <w:lang w:val="en-US"/>
        </w:rPr>
        <w:t>)</w:t>
      </w:r>
      <w:r w:rsidR="00132578">
        <w:rPr>
          <w:lang w:val="en-US"/>
        </w:rPr>
        <w:t>, named by Peled in 1979,</w:t>
      </w:r>
      <w:r w:rsidR="00132578" w:rsidRPr="008F6A4D">
        <w:rPr>
          <w:noProof/>
          <w:lang w:val="en-US"/>
        </w:rPr>
        <w:t>[10]</w:t>
      </w:r>
      <w:r w:rsidR="00132578">
        <w:rPr>
          <w:lang w:val="en-US"/>
        </w:rPr>
        <w:t xml:space="preserve"> </w:t>
      </w:r>
      <w:r w:rsidR="00FF3A0B">
        <w:rPr>
          <w:lang w:val="en-US"/>
        </w:rPr>
        <w:t xml:space="preserve">drastically influences the performance </w:t>
      </w:r>
      <w:r w:rsidR="007A31E9">
        <w:rPr>
          <w:lang w:val="en-US"/>
        </w:rPr>
        <w:t xml:space="preserve">of a lithium </w:t>
      </w:r>
      <w:r w:rsidR="00FF3A0B">
        <w:rPr>
          <w:lang w:val="en-US"/>
        </w:rPr>
        <w:t xml:space="preserve">electrode and </w:t>
      </w:r>
      <w:r w:rsidRPr="00D34F36">
        <w:rPr>
          <w:lang w:val="en-US"/>
        </w:rPr>
        <w:t xml:space="preserve">has been the topic of countless reviews and </w:t>
      </w:r>
      <w:r w:rsidR="009A516B" w:rsidRPr="00D34F36">
        <w:rPr>
          <w:lang w:val="en-US"/>
        </w:rPr>
        <w:t xml:space="preserve">research </w:t>
      </w:r>
      <w:r w:rsidRPr="00D34F36">
        <w:rPr>
          <w:lang w:val="en-US"/>
        </w:rPr>
        <w:t>publications</w:t>
      </w:r>
      <w:r w:rsidR="00FF3A0B">
        <w:rPr>
          <w:lang w:val="en-US"/>
        </w:rPr>
        <w:t>.</w:t>
      </w:r>
      <w:r w:rsidR="006263CB" w:rsidRPr="006263CB">
        <w:rPr>
          <w:noProof/>
          <w:lang w:val="en-US"/>
        </w:rPr>
        <w:t>[1,11,20–23,12–19]</w:t>
      </w:r>
      <w:r w:rsidRPr="00D34F36">
        <w:rPr>
          <w:lang w:val="en-US"/>
        </w:rPr>
        <w:t xml:space="preserve"> </w:t>
      </w:r>
      <w:r w:rsidR="00FF3A0B">
        <w:rPr>
          <w:lang w:val="en-US"/>
        </w:rPr>
        <w:t xml:space="preserve">30 years after its discovery it still </w:t>
      </w:r>
      <w:r w:rsidRPr="00D34F36">
        <w:rPr>
          <w:lang w:val="en-US"/>
        </w:rPr>
        <w:t xml:space="preserve">was </w:t>
      </w:r>
      <w:r w:rsidR="00FF3A0B">
        <w:rPr>
          <w:lang w:val="en-US"/>
        </w:rPr>
        <w:t>called</w:t>
      </w:r>
      <w:r w:rsidRPr="00D34F36">
        <w:rPr>
          <w:lang w:val="en-US"/>
        </w:rPr>
        <w:t xml:space="preserve"> “the most important but least understood”</w:t>
      </w:r>
      <w:r w:rsidR="00132578" w:rsidRPr="008F6A4D">
        <w:rPr>
          <w:noProof/>
          <w:lang w:val="en-US"/>
        </w:rPr>
        <w:t>[24]</w:t>
      </w:r>
      <w:r w:rsidR="00467D5F" w:rsidRPr="00D34F36">
        <w:rPr>
          <w:lang w:val="en-US"/>
        </w:rPr>
        <w:t xml:space="preserve"> part of lithium</w:t>
      </w:r>
      <w:r w:rsidR="002D6337" w:rsidRPr="00D34F36">
        <w:rPr>
          <w:lang w:val="en-US"/>
        </w:rPr>
        <w:t>-</w:t>
      </w:r>
      <w:r w:rsidR="00467D5F" w:rsidRPr="00D34F36">
        <w:rPr>
          <w:lang w:val="en-US"/>
        </w:rPr>
        <w:t>based batteries.</w:t>
      </w:r>
      <w:r w:rsidRPr="00D34F36">
        <w:rPr>
          <w:lang w:val="en-US"/>
        </w:rPr>
        <w:t xml:space="preserve"> The </w:t>
      </w:r>
      <w:r w:rsidR="005F26AF" w:rsidRPr="00D34F36">
        <w:rPr>
          <w:lang w:val="en-US"/>
        </w:rPr>
        <w:t xml:space="preserve">ideal </w:t>
      </w:r>
      <w:r w:rsidRPr="00D34F36">
        <w:rPr>
          <w:lang w:val="en-US"/>
        </w:rPr>
        <w:t xml:space="preserve">SEI has to be electron isolating </w:t>
      </w:r>
      <w:r w:rsidR="005F26AF" w:rsidRPr="00D34F36">
        <w:rPr>
          <w:lang w:val="en-US"/>
        </w:rPr>
        <w:t xml:space="preserve">and equally </w:t>
      </w:r>
      <w:r w:rsidRPr="00D34F36">
        <w:rPr>
          <w:lang w:val="en-US"/>
        </w:rPr>
        <w:t>Li</w:t>
      </w:r>
      <w:r w:rsidRPr="00D34F36">
        <w:rPr>
          <w:vertAlign w:val="superscript"/>
          <w:lang w:val="en-US"/>
        </w:rPr>
        <w:t>+</w:t>
      </w:r>
      <w:r w:rsidR="00062FCF" w:rsidRPr="00D34F36">
        <w:rPr>
          <w:lang w:val="en-US"/>
        </w:rPr>
        <w:t>-ion conducting</w:t>
      </w:r>
      <w:r w:rsidRPr="00D34F36">
        <w:rPr>
          <w:lang w:val="en-US"/>
        </w:rPr>
        <w:t xml:space="preserve"> to </w:t>
      </w:r>
      <w:r w:rsidR="002567D8">
        <w:rPr>
          <w:lang w:val="en-US"/>
        </w:rPr>
        <w:t>keep lithium metal protected against the electrolyte and still electrochemically active. Moreover, in the rechargeable battery cell mode, an ideal SEI</w:t>
      </w:r>
      <w:r w:rsidR="002F1A79">
        <w:rPr>
          <w:lang w:val="en-US"/>
        </w:rPr>
        <w:t xml:space="preserve"> should </w:t>
      </w:r>
      <w:r w:rsidRPr="00D34F36">
        <w:rPr>
          <w:lang w:val="en-US"/>
        </w:rPr>
        <w:t xml:space="preserve">enable </w:t>
      </w:r>
      <w:r w:rsidR="002567D8">
        <w:rPr>
          <w:lang w:val="en-US"/>
        </w:rPr>
        <w:t xml:space="preserve">a </w:t>
      </w:r>
      <w:r w:rsidRPr="00D34F36">
        <w:rPr>
          <w:lang w:val="en-US"/>
        </w:rPr>
        <w:t xml:space="preserve">homogeneous lithium </w:t>
      </w:r>
      <w:r w:rsidR="00467D5F" w:rsidRPr="00D34F36">
        <w:rPr>
          <w:lang w:val="en-US"/>
        </w:rPr>
        <w:t>dissolution (“stripping”) and deposition (“plating”) behavior</w:t>
      </w:r>
      <w:r w:rsidR="005F26AF" w:rsidRPr="00D34F36">
        <w:rPr>
          <w:lang w:val="en-US"/>
        </w:rPr>
        <w:t>.</w:t>
      </w:r>
      <w:r w:rsidRPr="00D34F36">
        <w:rPr>
          <w:lang w:val="en-US"/>
        </w:rPr>
        <w:t xml:space="preserve"> Locally concentrated inhomogeneous deposition</w:t>
      </w:r>
      <w:r w:rsidR="002F1A79" w:rsidRPr="002F1A79">
        <w:rPr>
          <w:rStyle w:val="Kommentarzeichen"/>
          <w:rFonts w:asciiTheme="minorHAnsi" w:hAnsiTheme="minorHAnsi" w:cstheme="minorBidi"/>
          <w:lang w:val="en-US"/>
        </w:rPr>
        <w:t xml:space="preserve"> </w:t>
      </w:r>
      <w:r w:rsidRPr="00D34F36">
        <w:rPr>
          <w:lang w:val="en-US"/>
        </w:rPr>
        <w:t xml:space="preserve">of lithium enhances the abundance of high surface area lithium (HSAL) </w:t>
      </w:r>
      <w:r w:rsidR="002567D8">
        <w:rPr>
          <w:lang w:val="en-US"/>
        </w:rPr>
        <w:t>with</w:t>
      </w:r>
      <w:r w:rsidR="002567D8" w:rsidRPr="00D34F36">
        <w:rPr>
          <w:lang w:val="en-US"/>
        </w:rPr>
        <w:t xml:space="preserve"> </w:t>
      </w:r>
      <w:r w:rsidRPr="00D34F36">
        <w:rPr>
          <w:lang w:val="en-US"/>
        </w:rPr>
        <w:t>different</w:t>
      </w:r>
      <w:r w:rsidR="002567D8">
        <w:rPr>
          <w:lang w:val="en-US"/>
        </w:rPr>
        <w:t>, for instance dendritic</w:t>
      </w:r>
      <w:r w:rsidR="006263CB" w:rsidRPr="006263CB">
        <w:rPr>
          <w:noProof/>
          <w:lang w:val="en-US"/>
        </w:rPr>
        <w:t>[17]</w:t>
      </w:r>
      <w:r w:rsidR="002F1A79">
        <w:rPr>
          <w:lang w:val="en-US"/>
        </w:rPr>
        <w:t xml:space="preserve"> </w:t>
      </w:r>
      <w:r w:rsidR="002567D8">
        <w:rPr>
          <w:lang w:val="en-US"/>
        </w:rPr>
        <w:t>deposition morphologies</w:t>
      </w:r>
      <w:r w:rsidRPr="00D34F36">
        <w:rPr>
          <w:lang w:val="en-US"/>
        </w:rPr>
        <w:t>, ultimately posing a safety risk if a dendrite short circuits a cell.</w:t>
      </w:r>
      <w:r w:rsidR="00467D5F" w:rsidRPr="00D34F36">
        <w:rPr>
          <w:lang w:val="en-US"/>
        </w:rPr>
        <w:t xml:space="preserve"> </w:t>
      </w:r>
      <w:r w:rsidRPr="00D34F36">
        <w:rPr>
          <w:lang w:val="en-US"/>
        </w:rPr>
        <w:t xml:space="preserve">Various </w:t>
      </w:r>
      <w:r w:rsidR="009A516B" w:rsidRPr="00D34F36">
        <w:rPr>
          <w:lang w:val="en-US"/>
        </w:rPr>
        <w:t xml:space="preserve">classes </w:t>
      </w:r>
      <w:r w:rsidRPr="00D34F36">
        <w:rPr>
          <w:lang w:val="en-US"/>
        </w:rPr>
        <w:t xml:space="preserve">of </w:t>
      </w:r>
      <w:r w:rsidR="009A516B" w:rsidRPr="00D34F36">
        <w:rPr>
          <w:lang w:val="en-US"/>
        </w:rPr>
        <w:t xml:space="preserve">liquid </w:t>
      </w:r>
      <w:r w:rsidRPr="00D34F36">
        <w:rPr>
          <w:lang w:val="en-US"/>
        </w:rPr>
        <w:t xml:space="preserve">electrolyte components </w:t>
      </w:r>
      <w:r w:rsidR="002D6337" w:rsidRPr="00D34F36">
        <w:rPr>
          <w:lang w:val="en-US"/>
        </w:rPr>
        <w:t xml:space="preserve">comprising </w:t>
      </w:r>
      <w:r w:rsidRPr="00D34F36">
        <w:rPr>
          <w:lang w:val="en-US"/>
        </w:rPr>
        <w:t>conducting salts</w:t>
      </w:r>
      <w:r w:rsidR="00FF3A0B">
        <w:rPr>
          <w:lang w:val="en-US"/>
        </w:rPr>
        <w:t>,</w:t>
      </w:r>
      <w:r w:rsidR="002D6337" w:rsidRPr="00D34F36">
        <w:rPr>
          <w:lang w:val="en-US"/>
        </w:rPr>
        <w:t xml:space="preserve"> solvents/co-solvents</w:t>
      </w:r>
      <w:r w:rsidRPr="00D34F36">
        <w:rPr>
          <w:lang w:val="en-US"/>
        </w:rPr>
        <w:t xml:space="preserve"> </w:t>
      </w:r>
      <w:r w:rsidR="00156B75">
        <w:rPr>
          <w:lang w:val="en-US"/>
        </w:rPr>
        <w:t>and especially</w:t>
      </w:r>
      <w:r w:rsidRPr="00D34F36">
        <w:rPr>
          <w:lang w:val="en-US"/>
        </w:rPr>
        <w:t xml:space="preserve"> functional additives have been </w:t>
      </w:r>
      <w:r w:rsidR="00D84117">
        <w:rPr>
          <w:lang w:val="en-US"/>
        </w:rPr>
        <w:t xml:space="preserve">considered </w:t>
      </w:r>
      <w:r w:rsidR="00467D5F" w:rsidRPr="00D34F36">
        <w:rPr>
          <w:lang w:val="en-US"/>
        </w:rPr>
        <w:t xml:space="preserve">to </w:t>
      </w:r>
      <w:r w:rsidR="00156B75">
        <w:rPr>
          <w:lang w:val="en-US"/>
        </w:rPr>
        <w:t xml:space="preserve">enable the formation of an improved </w:t>
      </w:r>
      <w:r w:rsidR="00FF3A0B">
        <w:rPr>
          <w:i/>
          <w:lang w:val="en-US"/>
        </w:rPr>
        <w:t>in situ</w:t>
      </w:r>
      <w:r w:rsidR="00467D5F" w:rsidRPr="00D34F36">
        <w:rPr>
          <w:lang w:val="en-US"/>
        </w:rPr>
        <w:t xml:space="preserve"> </w:t>
      </w:r>
      <w:r w:rsidR="00156B75">
        <w:rPr>
          <w:lang w:val="en-US"/>
        </w:rPr>
        <w:t xml:space="preserve">formed </w:t>
      </w:r>
      <w:r w:rsidR="00467D5F" w:rsidRPr="00D34F36">
        <w:rPr>
          <w:lang w:val="en-US"/>
        </w:rPr>
        <w:t>SEI</w:t>
      </w:r>
      <w:r w:rsidR="002F1A79" w:rsidRPr="002F1A79">
        <w:rPr>
          <w:noProof/>
          <w:lang w:val="en-US"/>
        </w:rPr>
        <w:t>[4,8,25,26]</w:t>
      </w:r>
      <w:r w:rsidR="002F1A79">
        <w:rPr>
          <w:lang w:val="en-US"/>
        </w:rPr>
        <w:t>. I</w:t>
      </w:r>
      <w:r w:rsidRPr="00D34F36">
        <w:rPr>
          <w:lang w:val="en-US"/>
        </w:rPr>
        <w:t xml:space="preserve">n a different approach, lithium metal electrodes are </w:t>
      </w:r>
      <w:r w:rsidR="00733D79" w:rsidRPr="00D34F36">
        <w:rPr>
          <w:lang w:val="en-US"/>
        </w:rPr>
        <w:t>pre</w:t>
      </w:r>
      <w:r w:rsidR="00807574">
        <w:rPr>
          <w:lang w:val="en-US"/>
        </w:rPr>
        <w:t>-</w:t>
      </w:r>
      <w:r w:rsidR="00733D79" w:rsidRPr="00D34F36">
        <w:rPr>
          <w:lang w:val="en-US"/>
        </w:rPr>
        <w:t>treated</w:t>
      </w:r>
      <w:r w:rsidRPr="00D34F36">
        <w:rPr>
          <w:lang w:val="en-US"/>
        </w:rPr>
        <w:t xml:space="preserve"> to enhance the electrode performance after </w:t>
      </w:r>
      <w:r w:rsidR="002D6337" w:rsidRPr="00D34F36">
        <w:rPr>
          <w:lang w:val="en-US"/>
        </w:rPr>
        <w:t xml:space="preserve">cell </w:t>
      </w:r>
      <w:r w:rsidRPr="00D34F36">
        <w:rPr>
          <w:lang w:val="en-US"/>
        </w:rPr>
        <w:t>assembly</w:t>
      </w:r>
      <w:r w:rsidR="002F1A79">
        <w:rPr>
          <w:lang w:val="en-US"/>
        </w:rPr>
        <w:t>:</w:t>
      </w:r>
      <w:r w:rsidR="005916BE" w:rsidRPr="00D34F36">
        <w:rPr>
          <w:lang w:val="en-US"/>
        </w:rPr>
        <w:t xml:space="preserve"> Therefore, the lithium electrode is reacted with</w:t>
      </w:r>
      <w:r w:rsidRPr="00D34F36">
        <w:rPr>
          <w:lang w:val="en-US"/>
        </w:rPr>
        <w:t xml:space="preserve"> </w:t>
      </w:r>
      <w:r w:rsidR="005916BE" w:rsidRPr="00D34F36">
        <w:rPr>
          <w:lang w:val="en-US"/>
        </w:rPr>
        <w:t>different chemicals</w:t>
      </w:r>
      <w:r w:rsidRPr="00D34F36">
        <w:rPr>
          <w:lang w:val="en-US"/>
        </w:rPr>
        <w:t>,</w:t>
      </w:r>
      <w:r w:rsidR="002F1A79" w:rsidRPr="002F1A79">
        <w:rPr>
          <w:noProof/>
          <w:lang w:val="en-US"/>
        </w:rPr>
        <w:t>[27–31]</w:t>
      </w:r>
      <w:r w:rsidR="00A816E0">
        <w:rPr>
          <w:lang w:val="en-US"/>
        </w:rPr>
        <w:t>,</w:t>
      </w:r>
      <w:r w:rsidR="005916BE" w:rsidRPr="00D34F36">
        <w:rPr>
          <w:lang w:val="en-US"/>
        </w:rPr>
        <w:t xml:space="preserve"> </w:t>
      </w:r>
      <w:r w:rsidR="00B42A80">
        <w:rPr>
          <w:lang w:val="en-US"/>
        </w:rPr>
        <w:t>is allowed to</w:t>
      </w:r>
      <w:r w:rsidRPr="00D34F36">
        <w:rPr>
          <w:lang w:val="en-US"/>
        </w:rPr>
        <w:t xml:space="preserve"> react with nitrogen gas to form a LiN</w:t>
      </w:r>
      <w:r w:rsidRPr="00D34F36">
        <w:rPr>
          <w:vertAlign w:val="subscript"/>
          <w:lang w:val="en-US"/>
        </w:rPr>
        <w:t>3</w:t>
      </w:r>
      <w:r w:rsidRPr="00D34F36">
        <w:rPr>
          <w:lang w:val="en-US"/>
        </w:rPr>
        <w:t>-rich layer on the electrode surface,</w:t>
      </w:r>
      <w:r w:rsidR="002F1A79" w:rsidRPr="002F1A79">
        <w:rPr>
          <w:noProof/>
          <w:lang w:val="en-US"/>
        </w:rPr>
        <w:t>[32,33]</w:t>
      </w:r>
      <w:r w:rsidR="00B42A80">
        <w:rPr>
          <w:lang w:val="en-US"/>
        </w:rPr>
        <w:t xml:space="preserve"> or is sputter coated</w:t>
      </w:r>
      <w:r w:rsidRPr="00D34F36">
        <w:rPr>
          <w:lang w:val="en-US"/>
        </w:rPr>
        <w:t xml:space="preserve"> with gold and zinc to improve the homogeneous lithium deposition be</w:t>
      </w:r>
      <w:r w:rsidR="00A816E0">
        <w:rPr>
          <w:lang w:val="en-US"/>
        </w:rPr>
        <w:t>neath</w:t>
      </w:r>
      <w:r w:rsidRPr="00D34F36">
        <w:rPr>
          <w:lang w:val="en-US"/>
        </w:rPr>
        <w:t xml:space="preserve"> the </w:t>
      </w:r>
      <w:r w:rsidR="00B42A80">
        <w:rPr>
          <w:lang w:val="en-US"/>
        </w:rPr>
        <w:t xml:space="preserve">(artificial) </w:t>
      </w:r>
      <w:r w:rsidRPr="00D34F36">
        <w:rPr>
          <w:lang w:val="en-US"/>
        </w:rPr>
        <w:t>SEI.</w:t>
      </w:r>
      <w:r w:rsidR="002F1A79" w:rsidRPr="002F1A79">
        <w:rPr>
          <w:noProof/>
          <w:lang w:val="en-US"/>
        </w:rPr>
        <w:t>[34]</w:t>
      </w:r>
      <w:r w:rsidRPr="00D34F36">
        <w:rPr>
          <w:lang w:val="en-US"/>
        </w:rPr>
        <w:t xml:space="preserve"> </w:t>
      </w:r>
    </w:p>
    <w:p w14:paraId="3DB4ABD7" w14:textId="5F262930" w:rsidR="00613AAD" w:rsidRPr="00D34F36" w:rsidRDefault="00C2663A" w:rsidP="00A8061A">
      <w:pPr>
        <w:pStyle w:val="Beschriftung"/>
        <w:rPr>
          <w:lang w:val="en-US"/>
        </w:rPr>
      </w:pPr>
      <w:r>
        <w:rPr>
          <w:lang w:val="en-US"/>
        </w:rPr>
        <w:t xml:space="preserve">However, </w:t>
      </w:r>
      <w:r w:rsidR="00156B75">
        <w:rPr>
          <w:lang w:val="en-US"/>
        </w:rPr>
        <w:t>most pre</w:t>
      </w:r>
      <w:r w:rsidR="00807574">
        <w:rPr>
          <w:lang w:val="en-US"/>
        </w:rPr>
        <w:t>-</w:t>
      </w:r>
      <w:r w:rsidR="00156B75">
        <w:rPr>
          <w:lang w:val="en-US"/>
        </w:rPr>
        <w:t>treatment methods</w:t>
      </w:r>
      <w:r w:rsidR="00613AAD" w:rsidRPr="00D34F36">
        <w:rPr>
          <w:lang w:val="en-US"/>
        </w:rPr>
        <w:t xml:space="preserve"> and </w:t>
      </w:r>
      <w:r w:rsidR="00062FCF" w:rsidRPr="00D34F36">
        <w:rPr>
          <w:lang w:val="en-US"/>
        </w:rPr>
        <w:t xml:space="preserve">advanced </w:t>
      </w:r>
      <w:r w:rsidR="00613AAD" w:rsidRPr="00D34F36">
        <w:rPr>
          <w:lang w:val="en-US"/>
        </w:rPr>
        <w:t xml:space="preserve">electrolyte formulations </w:t>
      </w:r>
      <w:r w:rsidR="00FF70EE">
        <w:rPr>
          <w:lang w:val="en-US"/>
        </w:rPr>
        <w:t xml:space="preserve">always form </w:t>
      </w:r>
      <w:r w:rsidR="00156B75">
        <w:rPr>
          <w:lang w:val="en-US"/>
        </w:rPr>
        <w:t>an</w:t>
      </w:r>
      <w:r w:rsidR="00FF70EE">
        <w:rPr>
          <w:lang w:val="en-US"/>
        </w:rPr>
        <w:t xml:space="preserve"> SEI on top</w:t>
      </w:r>
      <w:r w:rsidR="00613AAD" w:rsidRPr="00D34F36">
        <w:rPr>
          <w:lang w:val="en-US"/>
        </w:rPr>
        <w:t xml:space="preserve"> of the </w:t>
      </w:r>
      <w:r w:rsidR="003F3C0F">
        <w:rPr>
          <w:lang w:val="en-US"/>
        </w:rPr>
        <w:t>NPL</w:t>
      </w:r>
      <w:r w:rsidR="00613AAD" w:rsidRPr="00D34F36">
        <w:rPr>
          <w:lang w:val="en-US"/>
        </w:rPr>
        <w:t xml:space="preserve"> covering </w:t>
      </w:r>
      <w:r w:rsidR="00156B75">
        <w:rPr>
          <w:lang w:val="en-US"/>
        </w:rPr>
        <w:t>“</w:t>
      </w:r>
      <w:r w:rsidR="00613AAD" w:rsidRPr="00D34F36">
        <w:rPr>
          <w:lang w:val="en-US"/>
        </w:rPr>
        <w:t>as delivered” battery grade pristine lithium</w:t>
      </w:r>
      <w:r w:rsidR="00FF70EE">
        <w:rPr>
          <w:lang w:val="en-US"/>
        </w:rPr>
        <w:t xml:space="preserve">. This layer </w:t>
      </w:r>
      <w:r w:rsidR="00C232DC">
        <w:rPr>
          <w:lang w:val="en-US"/>
        </w:rPr>
        <w:t xml:space="preserve">is usually </w:t>
      </w:r>
      <w:r w:rsidR="00613AAD" w:rsidRPr="00D34F36">
        <w:rPr>
          <w:lang w:val="en-US"/>
        </w:rPr>
        <w:t>neglected</w:t>
      </w:r>
      <w:r w:rsidR="00733D79" w:rsidRPr="00D34F36">
        <w:rPr>
          <w:lang w:val="en-US"/>
        </w:rPr>
        <w:t xml:space="preserve"> and </w:t>
      </w:r>
      <w:r w:rsidR="00212E87" w:rsidRPr="00D34F36">
        <w:rPr>
          <w:lang w:val="en-US"/>
        </w:rPr>
        <w:t>has</w:t>
      </w:r>
      <w:r w:rsidR="00733D79" w:rsidRPr="00D34F36">
        <w:rPr>
          <w:lang w:val="en-US"/>
        </w:rPr>
        <w:t xml:space="preserve"> only very recently </w:t>
      </w:r>
      <w:r w:rsidR="00212E87" w:rsidRPr="00D34F36">
        <w:rPr>
          <w:lang w:val="en-US"/>
        </w:rPr>
        <w:t>come to the forefront of some studies</w:t>
      </w:r>
      <w:r w:rsidR="00613AAD" w:rsidRPr="00D34F36">
        <w:rPr>
          <w:lang w:val="en-US"/>
        </w:rPr>
        <w:t>.</w:t>
      </w:r>
      <w:r w:rsidR="002F1A79" w:rsidRPr="002F1A79">
        <w:rPr>
          <w:noProof/>
          <w:lang w:val="en-US"/>
        </w:rPr>
        <w:t>[35,36]</w:t>
      </w:r>
      <w:r w:rsidR="00613AAD" w:rsidRPr="00D34F36">
        <w:rPr>
          <w:lang w:val="en-US"/>
        </w:rPr>
        <w:t xml:space="preserve"> </w:t>
      </w:r>
      <w:proofErr w:type="spellStart"/>
      <w:r w:rsidR="00613AAD" w:rsidRPr="00D34F36">
        <w:rPr>
          <w:lang w:val="en-US"/>
        </w:rPr>
        <w:t>Becking</w:t>
      </w:r>
      <w:proofErr w:type="spellEnd"/>
      <w:r w:rsidR="00613AAD" w:rsidRPr="00D34F36">
        <w:rPr>
          <w:lang w:val="en-US"/>
        </w:rPr>
        <w:t xml:space="preserve"> </w:t>
      </w:r>
      <w:r w:rsidR="00613AAD" w:rsidRPr="00D34F36">
        <w:rPr>
          <w:i/>
          <w:lang w:val="en-US"/>
        </w:rPr>
        <w:t>et al.</w:t>
      </w:r>
      <w:r w:rsidR="002F1A79" w:rsidRPr="002F1A79">
        <w:rPr>
          <w:noProof/>
          <w:lang w:val="en-US"/>
        </w:rPr>
        <w:t>[37]</w:t>
      </w:r>
      <w:r w:rsidR="00613AAD" w:rsidRPr="00D34F36">
        <w:rPr>
          <w:lang w:val="en-US"/>
        </w:rPr>
        <w:t xml:space="preserve"> established a role</w:t>
      </w:r>
      <w:r w:rsidR="00FF70EE">
        <w:rPr>
          <w:lang w:val="en-US"/>
        </w:rPr>
        <w:t xml:space="preserve"> pressing procedure to break </w:t>
      </w:r>
      <w:r w:rsidR="00156B75">
        <w:rPr>
          <w:lang w:val="en-US"/>
        </w:rPr>
        <w:t>the NPL</w:t>
      </w:r>
      <w:r w:rsidR="00613AAD" w:rsidRPr="00D34F36">
        <w:rPr>
          <w:lang w:val="en-US"/>
        </w:rPr>
        <w:t xml:space="preserve"> </w:t>
      </w:r>
      <w:r w:rsidR="00156B75">
        <w:rPr>
          <w:lang w:val="en-US"/>
        </w:rPr>
        <w:t xml:space="preserve">covering </w:t>
      </w:r>
      <w:r w:rsidR="00613AAD" w:rsidRPr="00D34F36">
        <w:rPr>
          <w:lang w:val="en-US"/>
        </w:rPr>
        <w:t xml:space="preserve">pristine lithium to get a better idea of a clean lithium metal anode surfaces behavior, resulting in a more homogeneous </w:t>
      </w:r>
      <w:r w:rsidR="00DC2A7E" w:rsidRPr="00D34F36">
        <w:rPr>
          <w:lang w:val="en-US"/>
        </w:rPr>
        <w:t>stripping/plating</w:t>
      </w:r>
      <w:r w:rsidR="00613AAD" w:rsidRPr="00D34F36">
        <w:rPr>
          <w:lang w:val="en-US"/>
        </w:rPr>
        <w:t xml:space="preserve"> </w:t>
      </w:r>
      <w:r w:rsidR="00FF70EE">
        <w:rPr>
          <w:lang w:val="en-US"/>
        </w:rPr>
        <w:t>behavior</w:t>
      </w:r>
      <w:r w:rsidR="00613AAD" w:rsidRPr="00D34F36">
        <w:rPr>
          <w:lang w:val="en-US"/>
        </w:rPr>
        <w:t xml:space="preserve"> and lower impedance values of the SEI in</w:t>
      </w:r>
      <w:r w:rsidR="00212E87" w:rsidRPr="00D34F36">
        <w:rPr>
          <w:lang w:val="en-US"/>
        </w:rPr>
        <w:t xml:space="preserve"> a</w:t>
      </w:r>
      <w:r w:rsidR="00613AAD" w:rsidRPr="00D34F36">
        <w:rPr>
          <w:lang w:val="en-US"/>
        </w:rPr>
        <w:t xml:space="preserve"> Li||Li symmetric </w:t>
      </w:r>
      <w:r w:rsidR="00A816E0">
        <w:rPr>
          <w:lang w:val="en-US"/>
        </w:rPr>
        <w:t xml:space="preserve">two electrode </w:t>
      </w:r>
      <w:r w:rsidR="008335A1" w:rsidRPr="008335A1">
        <w:rPr>
          <w:noProof/>
          <w:lang w:val="en-US"/>
        </w:rPr>
        <w:t>[38]</w:t>
      </w:r>
      <w:r w:rsidR="008335A1" w:rsidRPr="00D34F36">
        <w:rPr>
          <w:lang w:val="en-US"/>
        </w:rPr>
        <w:t xml:space="preserve"> </w:t>
      </w:r>
      <w:r w:rsidR="008335A1">
        <w:rPr>
          <w:lang w:val="en-US"/>
        </w:rPr>
        <w:t>c</w:t>
      </w:r>
      <w:r w:rsidR="00613AAD" w:rsidRPr="00D34F36">
        <w:rPr>
          <w:lang w:val="en-US"/>
        </w:rPr>
        <w:t>oin cell setup</w:t>
      </w:r>
      <w:r w:rsidR="00C232DC">
        <w:rPr>
          <w:lang w:val="en-US"/>
        </w:rPr>
        <w:t xml:space="preserve"> compared to </w:t>
      </w:r>
      <w:r w:rsidR="00156B75">
        <w:rPr>
          <w:lang w:val="en-US"/>
        </w:rPr>
        <w:t>pristine battery grade lithium</w:t>
      </w:r>
      <w:r w:rsidR="00212E87" w:rsidRPr="00D34F36">
        <w:rPr>
          <w:lang w:val="en-US"/>
        </w:rPr>
        <w:t>.</w:t>
      </w:r>
      <w:r w:rsidR="00613AAD" w:rsidRPr="00D34F36">
        <w:rPr>
          <w:lang w:val="en-US"/>
        </w:rPr>
        <w:t xml:space="preserve"> </w:t>
      </w:r>
      <w:r w:rsidR="00FF70EE">
        <w:rPr>
          <w:lang w:val="en-US"/>
        </w:rPr>
        <w:t xml:space="preserve">Wellmann </w:t>
      </w:r>
      <w:r w:rsidR="00FF70EE">
        <w:rPr>
          <w:i/>
          <w:lang w:val="en-US"/>
        </w:rPr>
        <w:t>et al.</w:t>
      </w:r>
      <w:r w:rsidR="00FF70EE">
        <w:rPr>
          <w:lang w:val="en-US"/>
        </w:rPr>
        <w:t xml:space="preserve"> advanced this method by adding ionic liquids during the roll pressing process to form an artificial SEI in the process.</w:t>
      </w:r>
      <w:r w:rsidR="008335A1" w:rsidRPr="008335A1">
        <w:rPr>
          <w:noProof/>
          <w:lang w:val="en-US"/>
        </w:rPr>
        <w:t>[39]</w:t>
      </w:r>
      <w:r w:rsidR="00FF70EE">
        <w:rPr>
          <w:lang w:val="en-US"/>
        </w:rPr>
        <w:t xml:space="preserve"> </w:t>
      </w:r>
      <w:r w:rsidR="00613AAD" w:rsidRPr="00D34F36">
        <w:rPr>
          <w:lang w:val="en-US"/>
        </w:rPr>
        <w:t xml:space="preserve">An even more consequent procedure was established by Ding </w:t>
      </w:r>
      <w:r w:rsidR="00613AAD" w:rsidRPr="00D34F36">
        <w:rPr>
          <w:i/>
          <w:lang w:val="en-US"/>
        </w:rPr>
        <w:t>et al.</w:t>
      </w:r>
      <w:r w:rsidR="00613AAD" w:rsidRPr="00D34F36">
        <w:rPr>
          <w:lang w:val="en-US"/>
        </w:rPr>
        <w:t xml:space="preserve">, who </w:t>
      </w:r>
      <w:r w:rsidR="00156B75">
        <w:rPr>
          <w:lang w:val="en-US"/>
        </w:rPr>
        <w:t>presented a pre</w:t>
      </w:r>
      <w:r w:rsidR="00807574">
        <w:rPr>
          <w:lang w:val="en-US"/>
        </w:rPr>
        <w:t>-</w:t>
      </w:r>
      <w:r w:rsidR="00156B75">
        <w:rPr>
          <w:lang w:val="en-US"/>
        </w:rPr>
        <w:t>treatment method</w:t>
      </w:r>
      <w:r w:rsidR="00613AAD" w:rsidRPr="00D34F36">
        <w:rPr>
          <w:lang w:val="en-US"/>
        </w:rPr>
        <w:t xml:space="preserve"> lithium rod in </w:t>
      </w:r>
      <w:r w:rsidR="00467D5F" w:rsidRPr="00D34F36">
        <w:rPr>
          <w:lang w:val="en-US"/>
        </w:rPr>
        <w:t xml:space="preserve">an amine/hexane </w:t>
      </w:r>
      <w:r w:rsidR="00613AAD" w:rsidRPr="00D34F36">
        <w:rPr>
          <w:lang w:val="en-US"/>
        </w:rPr>
        <w:t xml:space="preserve">solution </w:t>
      </w:r>
      <w:r w:rsidR="00AC10DD">
        <w:rPr>
          <w:lang w:val="en-US"/>
        </w:rPr>
        <w:t>to form</w:t>
      </w:r>
      <w:r w:rsidR="00467D5F" w:rsidRPr="00D34F36">
        <w:rPr>
          <w:lang w:val="en-US"/>
        </w:rPr>
        <w:t xml:space="preserve"> </w:t>
      </w:r>
      <w:r w:rsidR="00C232DC">
        <w:rPr>
          <w:lang w:val="en-US"/>
        </w:rPr>
        <w:t xml:space="preserve">a </w:t>
      </w:r>
      <w:r w:rsidR="00467D5F" w:rsidRPr="00D34F36">
        <w:rPr>
          <w:lang w:val="en-US"/>
        </w:rPr>
        <w:t>defined surface layer</w:t>
      </w:r>
      <w:r w:rsidR="00212E87" w:rsidRPr="00D34F36">
        <w:rPr>
          <w:lang w:val="en-US"/>
        </w:rPr>
        <w:t>.</w:t>
      </w:r>
      <w:r w:rsidR="008335A1" w:rsidRPr="008335A1">
        <w:rPr>
          <w:noProof/>
          <w:lang w:val="en-US"/>
        </w:rPr>
        <w:t>[40]</w:t>
      </w:r>
      <w:r w:rsidR="00613AAD" w:rsidRPr="00D34F36">
        <w:rPr>
          <w:lang w:val="en-US"/>
        </w:rPr>
        <w:t xml:space="preserve"> </w:t>
      </w:r>
      <w:r w:rsidR="00212E87" w:rsidRPr="00D34F36">
        <w:rPr>
          <w:lang w:val="en-US"/>
        </w:rPr>
        <w:t>In t</w:t>
      </w:r>
      <w:r w:rsidR="00613AAD" w:rsidRPr="00D34F36">
        <w:rPr>
          <w:lang w:val="en-US"/>
        </w:rPr>
        <w:t>his way</w:t>
      </w:r>
      <w:r w:rsidR="00212E87" w:rsidRPr="00D34F36">
        <w:rPr>
          <w:lang w:val="en-US"/>
        </w:rPr>
        <w:t>,</w:t>
      </w:r>
      <w:r w:rsidR="00613AAD" w:rsidRPr="00D34F36">
        <w:rPr>
          <w:lang w:val="en-US"/>
        </w:rPr>
        <w:t xml:space="preserve"> the freshly surfaced lithium can only react with the solution, limiting the composition of the SEI to the reaction products of the</w:t>
      </w:r>
      <w:r w:rsidR="00212E87" w:rsidRPr="00D34F36">
        <w:rPr>
          <w:lang w:val="en-US"/>
        </w:rPr>
        <w:t xml:space="preserve"> selected</w:t>
      </w:r>
      <w:r w:rsidR="00613AAD" w:rsidRPr="00D34F36">
        <w:rPr>
          <w:lang w:val="en-US"/>
        </w:rPr>
        <w:t xml:space="preserve"> reaction liquid and lithium. To this day</w:t>
      </w:r>
      <w:r w:rsidR="00A816E0">
        <w:rPr>
          <w:lang w:val="en-US"/>
        </w:rPr>
        <w:t>,</w:t>
      </w:r>
      <w:r w:rsidR="00613AAD" w:rsidRPr="00D34F36">
        <w:rPr>
          <w:lang w:val="en-US"/>
        </w:rPr>
        <w:t xml:space="preserve"> this is the only </w:t>
      </w:r>
      <w:r w:rsidR="00A816E0">
        <w:rPr>
          <w:lang w:val="en-US"/>
        </w:rPr>
        <w:t>procedure</w:t>
      </w:r>
      <w:r w:rsidR="00A816E0" w:rsidRPr="00D34F36">
        <w:rPr>
          <w:lang w:val="en-US"/>
        </w:rPr>
        <w:t xml:space="preserve"> </w:t>
      </w:r>
      <w:r w:rsidR="002D6337" w:rsidRPr="00D34F36">
        <w:rPr>
          <w:lang w:val="en-US"/>
        </w:rPr>
        <w:t xml:space="preserve">shown </w:t>
      </w:r>
      <w:r w:rsidR="00613AAD" w:rsidRPr="00D34F36">
        <w:rPr>
          <w:lang w:val="en-US"/>
        </w:rPr>
        <w:t>to form an uncontaminated reaction product layer on the lithium metal surface. To the best of our knowledge</w:t>
      </w:r>
      <w:r w:rsidR="00212E87" w:rsidRPr="00D34F36">
        <w:rPr>
          <w:lang w:val="en-US"/>
        </w:rPr>
        <w:t>,</w:t>
      </w:r>
      <w:r w:rsidR="00613AAD" w:rsidRPr="00D34F36">
        <w:rPr>
          <w:lang w:val="en-US"/>
        </w:rPr>
        <w:t xml:space="preserve"> cutting lithium in solution has only been published a handful off times in literature,</w:t>
      </w:r>
      <w:r w:rsidR="008335A1" w:rsidRPr="008335A1">
        <w:rPr>
          <w:noProof/>
          <w:lang w:val="en-US"/>
        </w:rPr>
        <w:t>[41–44]</w:t>
      </w:r>
      <w:r w:rsidR="00A30BFB" w:rsidRPr="00D34F36">
        <w:rPr>
          <w:lang w:val="en-US"/>
        </w:rPr>
        <w:t>, however,</w:t>
      </w:r>
      <w:r w:rsidR="00613AAD" w:rsidRPr="00D34F36">
        <w:rPr>
          <w:lang w:val="en-US"/>
        </w:rPr>
        <w:t xml:space="preserve"> it has never been used </w:t>
      </w:r>
      <w:r w:rsidR="00F71A95">
        <w:rPr>
          <w:lang w:val="en-US"/>
        </w:rPr>
        <w:t>to form an</w:t>
      </w:r>
      <w:r w:rsidR="00613AAD" w:rsidRPr="00D34F36">
        <w:rPr>
          <w:lang w:val="en-US"/>
        </w:rPr>
        <w:t xml:space="preserve"> </w:t>
      </w:r>
      <w:r w:rsidR="00F71A95">
        <w:rPr>
          <w:lang w:val="en-US"/>
        </w:rPr>
        <w:t xml:space="preserve">as-defined </w:t>
      </w:r>
      <w:r w:rsidR="00613AAD" w:rsidRPr="00D34F36">
        <w:rPr>
          <w:lang w:val="en-US"/>
        </w:rPr>
        <w:t xml:space="preserve">SEI, generated by the reaction of lithium metal with </w:t>
      </w:r>
      <w:r w:rsidR="00F71A95">
        <w:rPr>
          <w:lang w:val="en-US"/>
        </w:rPr>
        <w:t>a state of the art (SO</w:t>
      </w:r>
      <w:r w:rsidR="008335A1">
        <w:rPr>
          <w:lang w:val="en-US"/>
        </w:rPr>
        <w:t>T</w:t>
      </w:r>
      <w:r w:rsidR="00F71A95">
        <w:rPr>
          <w:lang w:val="en-US"/>
        </w:rPr>
        <w:t>A) liquid electrolyte</w:t>
      </w:r>
      <w:r w:rsidR="00613AAD" w:rsidRPr="00D34F36">
        <w:rPr>
          <w:lang w:val="en-US"/>
        </w:rPr>
        <w:t>.</w:t>
      </w:r>
    </w:p>
    <w:p w14:paraId="26C9A86C" w14:textId="5A3CCA5A" w:rsidR="002222D9" w:rsidRDefault="00613AAD" w:rsidP="00A8061A">
      <w:pPr>
        <w:pStyle w:val="Beschriftung"/>
        <w:rPr>
          <w:lang w:val="en-US"/>
        </w:rPr>
      </w:pPr>
      <w:r w:rsidRPr="00D34F36">
        <w:rPr>
          <w:lang w:val="en-US"/>
        </w:rPr>
        <w:t xml:space="preserve">Herein we report on </w:t>
      </w:r>
      <w:r w:rsidR="00212E87" w:rsidRPr="00D34F36">
        <w:rPr>
          <w:lang w:val="en-US"/>
        </w:rPr>
        <w:t xml:space="preserve">the </w:t>
      </w:r>
      <w:r w:rsidR="00F71A95">
        <w:rPr>
          <w:lang w:val="en-US"/>
        </w:rPr>
        <w:t xml:space="preserve">first time </w:t>
      </w:r>
      <w:r w:rsidRPr="00D34F36">
        <w:rPr>
          <w:lang w:val="en-US"/>
        </w:rPr>
        <w:t>generat</w:t>
      </w:r>
      <w:r w:rsidR="00212E87" w:rsidRPr="00D34F36">
        <w:rPr>
          <w:lang w:val="en-US"/>
        </w:rPr>
        <w:t>ion of</w:t>
      </w:r>
      <w:r w:rsidRPr="00D34F36">
        <w:rPr>
          <w:lang w:val="en-US"/>
        </w:rPr>
        <w:t xml:space="preserve"> a </w:t>
      </w:r>
      <w:r w:rsidR="00F71A95">
        <w:rPr>
          <w:lang w:val="en-US"/>
        </w:rPr>
        <w:t xml:space="preserve">preformed as-defined </w:t>
      </w:r>
      <w:r w:rsidR="003800F5">
        <w:rPr>
          <w:lang w:val="en-US"/>
        </w:rPr>
        <w:t xml:space="preserve">SEI </w:t>
      </w:r>
      <w:r w:rsidR="00F71A95">
        <w:rPr>
          <w:lang w:val="en-US"/>
        </w:rPr>
        <w:t>(</w:t>
      </w:r>
      <w:r w:rsidR="00467D5F" w:rsidRPr="00D34F36">
        <w:rPr>
          <w:lang w:val="en-US"/>
        </w:rPr>
        <w:t>pSEI</w:t>
      </w:r>
      <w:r w:rsidR="00F71A95">
        <w:rPr>
          <w:lang w:val="en-US"/>
        </w:rPr>
        <w:t>)</w:t>
      </w:r>
      <w:r w:rsidRPr="00D34F36">
        <w:rPr>
          <w:lang w:val="en-US"/>
        </w:rPr>
        <w:t xml:space="preserve"> on lithium metal electrodes</w:t>
      </w:r>
      <w:r w:rsidR="00212E87" w:rsidRPr="00D34F36">
        <w:rPr>
          <w:lang w:val="en-US"/>
        </w:rPr>
        <w:t xml:space="preserve"> by an advanced pre</w:t>
      </w:r>
      <w:r w:rsidR="00EE1AFA">
        <w:rPr>
          <w:lang w:val="en-US"/>
        </w:rPr>
        <w:t>-</w:t>
      </w:r>
      <w:r w:rsidR="00212E87" w:rsidRPr="00D34F36">
        <w:rPr>
          <w:lang w:val="en-US"/>
        </w:rPr>
        <w:t xml:space="preserve">treatment method, which was </w:t>
      </w:r>
      <w:r w:rsidR="00467D5F" w:rsidRPr="00D34F36">
        <w:rPr>
          <w:lang w:val="en-US"/>
        </w:rPr>
        <w:t>inspired by</w:t>
      </w:r>
      <w:r w:rsidR="00212E87" w:rsidRPr="00D34F36">
        <w:rPr>
          <w:lang w:val="en-US"/>
        </w:rPr>
        <w:t xml:space="preserve"> the </w:t>
      </w:r>
      <w:r w:rsidR="00A816E0">
        <w:rPr>
          <w:lang w:val="en-US"/>
        </w:rPr>
        <w:t>work</w:t>
      </w:r>
      <w:r w:rsidR="00A816E0" w:rsidRPr="00D34F36">
        <w:rPr>
          <w:lang w:val="en-US"/>
        </w:rPr>
        <w:t xml:space="preserve"> </w:t>
      </w:r>
      <w:r w:rsidR="00467D5F" w:rsidRPr="00D34F36">
        <w:rPr>
          <w:lang w:val="en-US"/>
        </w:rPr>
        <w:t>of</w:t>
      </w:r>
      <w:r w:rsidR="00212E87" w:rsidRPr="00D34F36">
        <w:rPr>
          <w:lang w:val="en-US"/>
        </w:rPr>
        <w:t xml:space="preserve"> Ding </w:t>
      </w:r>
      <w:r w:rsidR="00212E87" w:rsidRPr="00D34F36">
        <w:rPr>
          <w:i/>
          <w:lang w:val="en-US"/>
        </w:rPr>
        <w:t>et al.</w:t>
      </w:r>
      <w:r w:rsidR="008335A1" w:rsidRPr="008335A1">
        <w:rPr>
          <w:noProof/>
          <w:lang w:val="en-US"/>
        </w:rPr>
        <w:t>[40]</w:t>
      </w:r>
      <w:r w:rsidR="00C232DC">
        <w:rPr>
          <w:lang w:val="en-US"/>
        </w:rPr>
        <w:t>, however</w:t>
      </w:r>
      <w:r w:rsidR="003800F5">
        <w:rPr>
          <w:lang w:val="en-US"/>
        </w:rPr>
        <w:t>,</w:t>
      </w:r>
      <w:r w:rsidR="00212E87" w:rsidRPr="00D34F36">
        <w:rPr>
          <w:lang w:val="en-US"/>
        </w:rPr>
        <w:t xml:space="preserve"> </w:t>
      </w:r>
      <w:r w:rsidR="002D6337" w:rsidRPr="00D34F36">
        <w:rPr>
          <w:lang w:val="en-US"/>
        </w:rPr>
        <w:t xml:space="preserve">significantly </w:t>
      </w:r>
      <w:r w:rsidR="00212E87" w:rsidRPr="00D34F36">
        <w:rPr>
          <w:lang w:val="en-US"/>
        </w:rPr>
        <w:t xml:space="preserve">altered to enhance reproducibility and enable utilization </w:t>
      </w:r>
      <w:r w:rsidR="00F71A95">
        <w:rPr>
          <w:lang w:val="en-US"/>
        </w:rPr>
        <w:t xml:space="preserve">in </w:t>
      </w:r>
      <w:r w:rsidR="003800F5">
        <w:rPr>
          <w:lang w:val="en-US"/>
        </w:rPr>
        <w:t xml:space="preserve">a </w:t>
      </w:r>
      <w:r w:rsidR="002D6337" w:rsidRPr="00D34F36">
        <w:rPr>
          <w:lang w:val="en-US"/>
        </w:rPr>
        <w:t xml:space="preserve">small </w:t>
      </w:r>
      <w:r w:rsidR="00212E87" w:rsidRPr="00D34F36">
        <w:rPr>
          <w:lang w:val="en-US"/>
        </w:rPr>
        <w:t>cell setup. The pre</w:t>
      </w:r>
      <w:r w:rsidR="00EE1AFA">
        <w:rPr>
          <w:lang w:val="en-US"/>
        </w:rPr>
        <w:t>-</w:t>
      </w:r>
      <w:r w:rsidR="00212E87" w:rsidRPr="00D34F36">
        <w:rPr>
          <w:lang w:val="en-US"/>
        </w:rPr>
        <w:t xml:space="preserve">treatment </w:t>
      </w:r>
      <w:r w:rsidR="000A6FD1" w:rsidRPr="00D34F36">
        <w:rPr>
          <w:lang w:val="en-US"/>
        </w:rPr>
        <w:t xml:space="preserve">of lithium electrodes </w:t>
      </w:r>
      <w:r w:rsidR="00212E87" w:rsidRPr="00D34F36">
        <w:rPr>
          <w:lang w:val="en-US"/>
        </w:rPr>
        <w:t xml:space="preserve">and simultaneous exclusion of </w:t>
      </w:r>
      <w:r w:rsidR="002222D9">
        <w:rPr>
          <w:lang w:val="en-US"/>
        </w:rPr>
        <w:t>the</w:t>
      </w:r>
      <w:r w:rsidR="00212E87" w:rsidRPr="00D34F36">
        <w:rPr>
          <w:lang w:val="en-US"/>
        </w:rPr>
        <w:t xml:space="preserve"> </w:t>
      </w:r>
      <w:r w:rsidR="003F3C0F">
        <w:rPr>
          <w:lang w:val="en-US"/>
        </w:rPr>
        <w:t>NPL</w:t>
      </w:r>
      <w:r w:rsidR="00212E87" w:rsidRPr="00D34F36">
        <w:rPr>
          <w:lang w:val="en-US"/>
        </w:rPr>
        <w:t xml:space="preserve"> allowed for the</w:t>
      </w:r>
      <w:r w:rsidR="00733D79" w:rsidRPr="00D34F36">
        <w:rPr>
          <w:lang w:val="en-US"/>
        </w:rPr>
        <w:t xml:space="preserve"> </w:t>
      </w:r>
      <w:r w:rsidRPr="00D34F36">
        <w:rPr>
          <w:lang w:val="en-US"/>
        </w:rPr>
        <w:t xml:space="preserve">systematic investigation </w:t>
      </w:r>
      <w:r w:rsidR="00212E87" w:rsidRPr="00D34F36">
        <w:rPr>
          <w:lang w:val="en-US"/>
        </w:rPr>
        <w:t xml:space="preserve">of differences in </w:t>
      </w:r>
      <w:r w:rsidR="00591798" w:rsidRPr="00D34F36">
        <w:rPr>
          <w:lang w:val="en-US"/>
        </w:rPr>
        <w:t>SEI characteristics</w:t>
      </w:r>
      <w:r w:rsidR="000A6FD1" w:rsidRPr="00D34F36">
        <w:rPr>
          <w:lang w:val="en-US"/>
        </w:rPr>
        <w:t xml:space="preserve"> based on said </w:t>
      </w:r>
      <w:r w:rsidR="003F3C0F">
        <w:rPr>
          <w:lang w:val="en-US"/>
        </w:rPr>
        <w:t>NPL</w:t>
      </w:r>
      <w:r w:rsidR="000A6FD1" w:rsidRPr="00D34F36">
        <w:rPr>
          <w:lang w:val="en-US"/>
        </w:rPr>
        <w:t xml:space="preserve"> by comparing battery grade pristine lithium metal electrodes (pLi) and electrode</w:t>
      </w:r>
      <w:r w:rsidR="009253DA" w:rsidRPr="00D34F36">
        <w:rPr>
          <w:lang w:val="en-US"/>
        </w:rPr>
        <w:t>s cover</w:t>
      </w:r>
      <w:r w:rsidR="00467D5F" w:rsidRPr="00D34F36">
        <w:rPr>
          <w:lang w:val="en-US"/>
        </w:rPr>
        <w:t>e</w:t>
      </w:r>
      <w:r w:rsidR="009253DA" w:rsidRPr="00D34F36">
        <w:rPr>
          <w:lang w:val="en-US"/>
        </w:rPr>
        <w:t>d by a pSEI. Furthermore, it</w:t>
      </w:r>
      <w:r w:rsidR="000A6FD1" w:rsidRPr="00D34F36">
        <w:rPr>
          <w:lang w:val="en-US"/>
        </w:rPr>
        <w:t xml:space="preserve"> also</w:t>
      </w:r>
      <w:r w:rsidR="009253DA" w:rsidRPr="00D34F36">
        <w:rPr>
          <w:lang w:val="en-US"/>
        </w:rPr>
        <w:t xml:space="preserve"> allows for an</w:t>
      </w:r>
      <w:r w:rsidR="000A6FD1" w:rsidRPr="00D34F36">
        <w:rPr>
          <w:lang w:val="en-US"/>
        </w:rPr>
        <w:t xml:space="preserve"> exclusive influence </w:t>
      </w:r>
      <w:r w:rsidR="009253DA" w:rsidRPr="00D34F36">
        <w:rPr>
          <w:lang w:val="en-US"/>
        </w:rPr>
        <w:t xml:space="preserve">study </w:t>
      </w:r>
      <w:r w:rsidR="000A6FD1" w:rsidRPr="00D34F36">
        <w:rPr>
          <w:lang w:val="en-US"/>
        </w:rPr>
        <w:t xml:space="preserve">of </w:t>
      </w:r>
      <w:r w:rsidR="002222D9">
        <w:rPr>
          <w:lang w:val="en-US"/>
        </w:rPr>
        <w:t>two SO</w:t>
      </w:r>
      <w:r w:rsidR="008335A1">
        <w:rPr>
          <w:lang w:val="en-US"/>
        </w:rPr>
        <w:t>T</w:t>
      </w:r>
      <w:r w:rsidR="002222D9">
        <w:rPr>
          <w:lang w:val="en-US"/>
        </w:rPr>
        <w:t>A</w:t>
      </w:r>
      <w:r w:rsidR="000A6FD1" w:rsidRPr="00D34F36">
        <w:rPr>
          <w:lang w:val="en-US"/>
        </w:rPr>
        <w:t xml:space="preserve"> functional electrolyte additive. </w:t>
      </w:r>
    </w:p>
    <w:p w14:paraId="0F156FF1" w14:textId="3DF154F7" w:rsidR="00613AAD" w:rsidRPr="00FC47EB" w:rsidRDefault="002222D9" w:rsidP="00D2008D">
      <w:pPr>
        <w:pStyle w:val="Beschriftung"/>
        <w:rPr>
          <w:lang w:val="en-US"/>
        </w:rPr>
      </w:pPr>
      <w:r>
        <w:rPr>
          <w:lang w:val="en-US"/>
        </w:rPr>
        <w:t>The</w:t>
      </w:r>
      <w:r w:rsidR="006C6A5D">
        <w:rPr>
          <w:lang w:val="en-US"/>
        </w:rPr>
        <w:t xml:space="preserve"> “positive”</w:t>
      </w:r>
      <w:r>
        <w:rPr>
          <w:lang w:val="en-US"/>
        </w:rPr>
        <w:t xml:space="preserve"> </w:t>
      </w:r>
      <w:r w:rsidR="000A6FD1" w:rsidRPr="00D34F36">
        <w:rPr>
          <w:lang w:val="en-US"/>
        </w:rPr>
        <w:t>influence</w:t>
      </w:r>
      <w:r w:rsidR="00467D5F" w:rsidRPr="00D34F36">
        <w:rPr>
          <w:lang w:val="en-US"/>
        </w:rPr>
        <w:t xml:space="preserve"> of the</w:t>
      </w:r>
      <w:r w:rsidR="00AF56B5" w:rsidRPr="00D34F36">
        <w:rPr>
          <w:lang w:val="en-US"/>
        </w:rPr>
        <w:t xml:space="preserve"> two</w:t>
      </w:r>
      <w:r w:rsidR="002D6337" w:rsidRPr="00D34F36">
        <w:rPr>
          <w:lang w:val="en-US"/>
        </w:rPr>
        <w:t xml:space="preserve"> common</w:t>
      </w:r>
      <w:r w:rsidR="00AF56B5" w:rsidRPr="00D34F36">
        <w:rPr>
          <w:lang w:val="en-US"/>
        </w:rPr>
        <w:t xml:space="preserve"> functional additives</w:t>
      </w:r>
      <w:r>
        <w:rPr>
          <w:lang w:val="en-US"/>
        </w:rPr>
        <w:t>,</w:t>
      </w:r>
      <w:r w:rsidR="00AF56B5" w:rsidRPr="00D34F36">
        <w:rPr>
          <w:lang w:val="en-US"/>
        </w:rPr>
        <w:t xml:space="preserve"> </w:t>
      </w:r>
      <w:r w:rsidR="000A6FD1" w:rsidRPr="00D34F36">
        <w:rPr>
          <w:lang w:val="en-US"/>
        </w:rPr>
        <w:t>vinylene carbonate (VC)</w:t>
      </w:r>
      <w:r w:rsidR="00146C90" w:rsidRPr="00146C90">
        <w:rPr>
          <w:noProof/>
          <w:lang w:val="en-US"/>
        </w:rPr>
        <w:t>[45]</w:t>
      </w:r>
      <w:r w:rsidR="000A6FD1" w:rsidRPr="00D34F36">
        <w:rPr>
          <w:lang w:val="en-US"/>
        </w:rPr>
        <w:t xml:space="preserve"> </w:t>
      </w:r>
      <w:r w:rsidR="00AF56B5" w:rsidRPr="00D34F36">
        <w:rPr>
          <w:lang w:val="en-US"/>
        </w:rPr>
        <w:t xml:space="preserve">and </w:t>
      </w:r>
      <w:r w:rsidR="00C232DC">
        <w:rPr>
          <w:lang w:val="en-US"/>
        </w:rPr>
        <w:t xml:space="preserve">fluoroethylene </w:t>
      </w:r>
      <w:r w:rsidR="00AF56B5" w:rsidRPr="00D34F36">
        <w:rPr>
          <w:lang w:val="en-US"/>
        </w:rPr>
        <w:t>carbonate (FEC)</w:t>
      </w:r>
      <w:r w:rsidR="00146C90" w:rsidRPr="00146C90">
        <w:rPr>
          <w:noProof/>
          <w:lang w:val="en-US"/>
        </w:rPr>
        <w:t>[46]</w:t>
      </w:r>
      <w:r w:rsidR="00AF56B5" w:rsidRPr="00D34F36">
        <w:rPr>
          <w:lang w:val="en-US"/>
        </w:rPr>
        <w:t xml:space="preserve"> </w:t>
      </w:r>
      <w:r w:rsidR="006C6A5D">
        <w:rPr>
          <w:lang w:val="en-US"/>
        </w:rPr>
        <w:t>has been reported individually before</w:t>
      </w:r>
      <w:r w:rsidR="00637262">
        <w:rPr>
          <w:lang w:val="en-US"/>
        </w:rPr>
        <w:t xml:space="preserve">, however to the best of our knowledge, </w:t>
      </w:r>
      <w:r w:rsidR="00146C90">
        <w:rPr>
          <w:lang w:val="en-US"/>
        </w:rPr>
        <w:t xml:space="preserve">an in depth </w:t>
      </w:r>
      <w:r w:rsidR="00637262">
        <w:rPr>
          <w:lang w:val="en-US"/>
        </w:rPr>
        <w:t xml:space="preserve">direct </w:t>
      </w:r>
      <w:r w:rsidR="00146C90">
        <w:rPr>
          <w:lang w:val="en-US"/>
        </w:rPr>
        <w:t xml:space="preserve">side-by-side comparison has not been done before. Therefore, the </w:t>
      </w:r>
      <w:r w:rsidR="000A6FD1" w:rsidRPr="00D34F36">
        <w:rPr>
          <w:lang w:val="en-US"/>
        </w:rPr>
        <w:t xml:space="preserve">pSEI based on </w:t>
      </w:r>
      <w:r w:rsidR="00AF56B5" w:rsidRPr="00D34F36">
        <w:rPr>
          <w:lang w:val="en-US"/>
        </w:rPr>
        <w:t>three</w:t>
      </w:r>
      <w:r w:rsidR="00613AAD" w:rsidRPr="00D34F36">
        <w:rPr>
          <w:lang w:val="en-US"/>
        </w:rPr>
        <w:t xml:space="preserve"> electrolyte</w:t>
      </w:r>
      <w:r w:rsidR="002D6337" w:rsidRPr="00D34F36">
        <w:rPr>
          <w:lang w:val="en-US"/>
        </w:rPr>
        <w:t xml:space="preserve"> formulation</w:t>
      </w:r>
      <w:r w:rsidR="00613AAD" w:rsidRPr="00D34F36">
        <w:rPr>
          <w:lang w:val="en-US"/>
        </w:rPr>
        <w:t>s: a baseline electrolyte (BE</w:t>
      </w:r>
      <w:r w:rsidR="00733D79" w:rsidRPr="00D34F36">
        <w:rPr>
          <w:lang w:val="en-US"/>
        </w:rPr>
        <w:t xml:space="preserve">, </w:t>
      </w:r>
      <w:r w:rsidR="00613AAD" w:rsidRPr="00D34F36">
        <w:rPr>
          <w:lang w:val="en-US"/>
        </w:rPr>
        <w:t>EC: EMC 3:7 (w/w), 1.2 M LiPF</w:t>
      </w:r>
      <w:r w:rsidR="00613AAD" w:rsidRPr="00D34F36">
        <w:rPr>
          <w:vertAlign w:val="subscript"/>
          <w:lang w:val="en-US"/>
        </w:rPr>
        <w:t>6</w:t>
      </w:r>
      <w:r w:rsidR="00AF56B5" w:rsidRPr="00D34F36">
        <w:rPr>
          <w:lang w:val="en-US"/>
        </w:rPr>
        <w:t xml:space="preserve">), a </w:t>
      </w:r>
      <w:r w:rsidR="00733D79" w:rsidRPr="00D34F36">
        <w:rPr>
          <w:lang w:val="en-US"/>
        </w:rPr>
        <w:t>VC</w:t>
      </w:r>
      <w:r w:rsidR="00613AAD" w:rsidRPr="00D34F36">
        <w:rPr>
          <w:lang w:val="en-US"/>
        </w:rPr>
        <w:t xml:space="preserve"> containing additive electrolyte AE-VC (</w:t>
      </w:r>
      <w:r>
        <w:rPr>
          <w:lang w:val="en-US"/>
        </w:rPr>
        <w:t>BE</w:t>
      </w:r>
      <w:r w:rsidR="00613AAD" w:rsidRPr="00D34F36">
        <w:rPr>
          <w:lang w:val="en-US"/>
        </w:rPr>
        <w:t xml:space="preserve"> +5 wt% VC)</w:t>
      </w:r>
      <w:r w:rsidR="00AF56B5" w:rsidRPr="00D34F36">
        <w:rPr>
          <w:lang w:val="en-US"/>
        </w:rPr>
        <w:t xml:space="preserve"> and a FEC containing additive electrolyte AE-FEC (</w:t>
      </w:r>
      <w:r>
        <w:rPr>
          <w:lang w:val="en-US"/>
        </w:rPr>
        <w:t>BE</w:t>
      </w:r>
      <w:r w:rsidR="00AF56B5" w:rsidRPr="00D34F36">
        <w:rPr>
          <w:lang w:val="en-US"/>
        </w:rPr>
        <w:t xml:space="preserve"> +6.09 wt% VC). To ensure equal reaction equivalents during the </w:t>
      </w:r>
      <w:r>
        <w:rPr>
          <w:lang w:val="en-US"/>
        </w:rPr>
        <w:t xml:space="preserve">SEI </w:t>
      </w:r>
      <w:r w:rsidR="00AF56B5" w:rsidRPr="00D34F36">
        <w:rPr>
          <w:lang w:val="en-US"/>
        </w:rPr>
        <w:t>preformation, the electrolyte component</w:t>
      </w:r>
      <w:r>
        <w:rPr>
          <w:lang w:val="en-US"/>
        </w:rPr>
        <w:t xml:space="preserve"> molar</w:t>
      </w:r>
      <w:r w:rsidR="00AF56B5" w:rsidRPr="00D34F36">
        <w:rPr>
          <w:lang w:val="en-US"/>
        </w:rPr>
        <w:t xml:space="preserve"> ratios of AE</w:t>
      </w:r>
      <w:r w:rsidR="00AF56B5" w:rsidRPr="00D34F36">
        <w:rPr>
          <w:lang w:val="en-US"/>
        </w:rPr>
        <w:noBreakHyphen/>
        <w:t>FEC were determined equal</w:t>
      </w:r>
      <w:r w:rsidR="000D6F68">
        <w:rPr>
          <w:lang w:val="en-US"/>
        </w:rPr>
        <w:t>ly</w:t>
      </w:r>
      <w:r w:rsidR="00AF56B5" w:rsidRPr="00D34F36">
        <w:rPr>
          <w:lang w:val="en-US"/>
        </w:rPr>
        <w:t xml:space="preserve"> to AE</w:t>
      </w:r>
      <w:r w:rsidR="00AF56B5" w:rsidRPr="00D34F36">
        <w:rPr>
          <w:lang w:val="en-US"/>
        </w:rPr>
        <w:noBreakHyphen/>
        <w:t>VC (detailed calculation in SI)</w:t>
      </w:r>
      <w:r w:rsidR="00613AAD" w:rsidRPr="00D34F36">
        <w:rPr>
          <w:lang w:val="en-US"/>
        </w:rPr>
        <w:t>.</w:t>
      </w:r>
      <w:r w:rsidR="000A6FD1" w:rsidRPr="00D34F36">
        <w:rPr>
          <w:lang w:val="en-US"/>
        </w:rPr>
        <w:t xml:space="preserve"> </w:t>
      </w:r>
      <w:r w:rsidR="00613AAD" w:rsidRPr="00D34F36">
        <w:rPr>
          <w:lang w:val="en-US"/>
        </w:rPr>
        <w:t>The chemical composition</w:t>
      </w:r>
      <w:r w:rsidR="00403F10" w:rsidRPr="00D34F36">
        <w:rPr>
          <w:lang w:val="en-US"/>
        </w:rPr>
        <w:t xml:space="preserve"> and morphology</w:t>
      </w:r>
      <w:r w:rsidR="00613AAD" w:rsidRPr="00D34F36">
        <w:rPr>
          <w:lang w:val="en-US"/>
        </w:rPr>
        <w:t xml:space="preserve"> of </w:t>
      </w:r>
      <w:r w:rsidR="009253DA" w:rsidRPr="00D34F36">
        <w:rPr>
          <w:lang w:val="en-US"/>
        </w:rPr>
        <w:t>the</w:t>
      </w:r>
      <w:r w:rsidR="00613AAD" w:rsidRPr="00D34F36">
        <w:rPr>
          <w:lang w:val="en-US"/>
        </w:rPr>
        <w:t xml:space="preserve"> </w:t>
      </w:r>
      <w:r w:rsidR="00733D79" w:rsidRPr="00D34F36">
        <w:rPr>
          <w:lang w:val="en-US"/>
        </w:rPr>
        <w:t>pre</w:t>
      </w:r>
      <w:r w:rsidR="00EE1AFA">
        <w:rPr>
          <w:lang w:val="en-US"/>
        </w:rPr>
        <w:t>-</w:t>
      </w:r>
      <w:r w:rsidR="00733D79" w:rsidRPr="00D34F36">
        <w:rPr>
          <w:lang w:val="en-US"/>
        </w:rPr>
        <w:t>treated</w:t>
      </w:r>
      <w:r w:rsidR="00613AAD" w:rsidRPr="00D34F36">
        <w:rPr>
          <w:lang w:val="en-US"/>
        </w:rPr>
        <w:t xml:space="preserve"> </w:t>
      </w:r>
      <w:r w:rsidR="00F07AF7" w:rsidRPr="00D34F36">
        <w:rPr>
          <w:lang w:val="en-US"/>
        </w:rPr>
        <w:t xml:space="preserve">lithium metal </w:t>
      </w:r>
      <w:r w:rsidR="00613AAD" w:rsidRPr="00D34F36">
        <w:rPr>
          <w:lang w:val="en-US"/>
        </w:rPr>
        <w:t>electrodes were characterized by X</w:t>
      </w:r>
      <w:r w:rsidR="000A6FD1" w:rsidRPr="00D34F36">
        <w:rPr>
          <w:lang w:val="en-US"/>
        </w:rPr>
        <w:noBreakHyphen/>
      </w:r>
      <w:r w:rsidR="00613AAD" w:rsidRPr="00D34F36">
        <w:rPr>
          <w:lang w:val="en-US"/>
        </w:rPr>
        <w:t>ray photoelectron spectroscopy (XPS) and</w:t>
      </w:r>
      <w:r w:rsidR="00403F10" w:rsidRPr="00D34F36">
        <w:rPr>
          <w:lang w:val="en-US"/>
        </w:rPr>
        <w:t xml:space="preserve"> optical analysis, including</w:t>
      </w:r>
      <w:r w:rsidR="00613AAD" w:rsidRPr="00D34F36">
        <w:rPr>
          <w:lang w:val="en-US"/>
        </w:rPr>
        <w:t xml:space="preserve"> scanning electron microscopy (SEM) in combination with</w:t>
      </w:r>
      <w:r w:rsidR="00733D79" w:rsidRPr="00D34F36">
        <w:rPr>
          <w:lang w:val="en-US"/>
        </w:rPr>
        <w:t xml:space="preserve"> </w:t>
      </w:r>
      <w:r w:rsidR="00733D79" w:rsidRPr="00D34F36">
        <w:rPr>
          <w:i/>
          <w:lang w:val="en-US"/>
        </w:rPr>
        <w:t>cryo</w:t>
      </w:r>
      <w:r w:rsidR="00733D79" w:rsidRPr="00D34F36">
        <w:rPr>
          <w:lang w:val="en-US"/>
        </w:rPr>
        <w:t xml:space="preserve"> focused ion beam (FIB) cutting and</w:t>
      </w:r>
      <w:r w:rsidR="00613AAD" w:rsidRPr="00D34F36">
        <w:rPr>
          <w:lang w:val="en-US"/>
        </w:rPr>
        <w:t xml:space="preserve"> energy dispersive X-ray spectroscopy (EDX). The electrochemical characterization was </w:t>
      </w:r>
      <w:r w:rsidR="00403F10" w:rsidRPr="00D34F36">
        <w:rPr>
          <w:lang w:val="en-US"/>
        </w:rPr>
        <w:t>conducted</w:t>
      </w:r>
      <w:r w:rsidR="00613AAD" w:rsidRPr="00D34F36">
        <w:rPr>
          <w:lang w:val="en-US"/>
        </w:rPr>
        <w:t xml:space="preserve"> in Li||Li symmetric cells using s</w:t>
      </w:r>
      <w:r w:rsidR="00AF56B5" w:rsidRPr="00D34F36">
        <w:rPr>
          <w:lang w:val="en-US"/>
        </w:rPr>
        <w:t>tripping/</w:t>
      </w:r>
      <w:r w:rsidR="00613AAD" w:rsidRPr="00D34F36">
        <w:rPr>
          <w:lang w:val="en-US"/>
        </w:rPr>
        <w:t xml:space="preserve">plating experiments and </w:t>
      </w:r>
      <w:r w:rsidR="008E2385">
        <w:rPr>
          <w:i/>
          <w:lang w:val="en-US"/>
        </w:rPr>
        <w:t xml:space="preserve">operando </w:t>
      </w:r>
      <w:r w:rsidR="00613AAD" w:rsidRPr="00D34F36">
        <w:rPr>
          <w:lang w:val="en-US"/>
        </w:rPr>
        <w:t xml:space="preserve">electron impedance spectroscopy (EIS). </w:t>
      </w:r>
      <w:r w:rsidR="00613AAD" w:rsidRPr="00D34F36">
        <w:rPr>
          <w:i/>
          <w:lang w:val="en-US"/>
        </w:rPr>
        <w:t>Post mortem</w:t>
      </w:r>
      <w:r w:rsidR="00613AAD" w:rsidRPr="00D34F36">
        <w:rPr>
          <w:lang w:val="en-US"/>
        </w:rPr>
        <w:t xml:space="preserve"> analysis o</w:t>
      </w:r>
      <w:r w:rsidR="000A6FD1" w:rsidRPr="00D34F36">
        <w:rPr>
          <w:lang w:val="en-US"/>
        </w:rPr>
        <w:t xml:space="preserve">f </w:t>
      </w:r>
      <w:r w:rsidR="00DC2A7E" w:rsidRPr="00D34F36">
        <w:rPr>
          <w:lang w:val="en-US"/>
        </w:rPr>
        <w:t xml:space="preserve">the </w:t>
      </w:r>
      <w:r w:rsidR="000A6FD1" w:rsidRPr="00D34F36">
        <w:rPr>
          <w:lang w:val="en-US"/>
        </w:rPr>
        <w:t>lithium metal ele</w:t>
      </w:r>
      <w:r w:rsidR="00DC2A7E" w:rsidRPr="00D34F36">
        <w:rPr>
          <w:lang w:val="en-US"/>
        </w:rPr>
        <w:t xml:space="preserve">ctrodes </w:t>
      </w:r>
      <w:r w:rsidR="000A6FD1" w:rsidRPr="00D34F36">
        <w:rPr>
          <w:lang w:val="en-US"/>
        </w:rPr>
        <w:t>surface</w:t>
      </w:r>
      <w:r w:rsidR="00DC2A7E" w:rsidRPr="00D34F36">
        <w:rPr>
          <w:lang w:val="en-US"/>
        </w:rPr>
        <w:t xml:space="preserve"> morphology and chemical composition</w:t>
      </w:r>
      <w:r w:rsidR="00613AAD" w:rsidRPr="00D34F36">
        <w:rPr>
          <w:lang w:val="en-US"/>
        </w:rPr>
        <w:t xml:space="preserve"> w</w:t>
      </w:r>
      <w:r w:rsidR="000A6FD1" w:rsidRPr="00D34F36">
        <w:rPr>
          <w:lang w:val="en-US"/>
        </w:rPr>
        <w:t>ere</w:t>
      </w:r>
      <w:r w:rsidR="00613AAD" w:rsidRPr="00D34F36">
        <w:rPr>
          <w:lang w:val="en-US"/>
        </w:rPr>
        <w:t xml:space="preserve"> performed </w:t>
      </w:r>
      <w:r w:rsidR="00613AAD" w:rsidRPr="00D34F36">
        <w:rPr>
          <w:lang w:val="en-US"/>
        </w:rPr>
        <w:lastRenderedPageBreak/>
        <w:t>by</w:t>
      </w:r>
      <w:r w:rsidR="00403F10" w:rsidRPr="00D34F36">
        <w:rPr>
          <w:lang w:val="en-US"/>
        </w:rPr>
        <w:t xml:space="preserve"> optical (incl.</w:t>
      </w:r>
      <w:r w:rsidR="00613AAD" w:rsidRPr="00D34F36">
        <w:rPr>
          <w:lang w:val="en-US"/>
        </w:rPr>
        <w:t xml:space="preserve"> SEM</w:t>
      </w:r>
      <w:r w:rsidR="00403F10" w:rsidRPr="00D34F36">
        <w:rPr>
          <w:lang w:val="en-US"/>
        </w:rPr>
        <w:t xml:space="preserve">) </w:t>
      </w:r>
      <w:r w:rsidR="00733D79" w:rsidRPr="00D34F36">
        <w:rPr>
          <w:lang w:val="en-US"/>
        </w:rPr>
        <w:t xml:space="preserve">and </w:t>
      </w:r>
      <w:r w:rsidR="00403F10" w:rsidRPr="00D34F36">
        <w:rPr>
          <w:lang w:val="en-US"/>
        </w:rPr>
        <w:t>Raman analysis</w:t>
      </w:r>
      <w:r w:rsidR="00733D79" w:rsidRPr="00D34F36">
        <w:rPr>
          <w:lang w:val="en-US"/>
        </w:rPr>
        <w:t>. F</w:t>
      </w:r>
      <w:r w:rsidR="00613AAD" w:rsidRPr="00D34F36">
        <w:rPr>
          <w:lang w:val="en-US"/>
        </w:rPr>
        <w:t xml:space="preserve">inally, a NMC811||Li cell setup </w:t>
      </w:r>
      <w:r w:rsidR="00DC2A7E" w:rsidRPr="00D34F36">
        <w:rPr>
          <w:lang w:val="en-US"/>
        </w:rPr>
        <w:t>was</w:t>
      </w:r>
      <w:r w:rsidR="00613AAD" w:rsidRPr="00D34F36">
        <w:rPr>
          <w:lang w:val="en-US"/>
        </w:rPr>
        <w:t xml:space="preserve"> used to investigate the </w:t>
      </w:r>
      <w:r w:rsidR="00A94A57">
        <w:rPr>
          <w:lang w:val="en-US"/>
        </w:rPr>
        <w:t xml:space="preserve">impact </w:t>
      </w:r>
      <w:r w:rsidR="00403F10" w:rsidRPr="00D34F36">
        <w:rPr>
          <w:lang w:val="en-US"/>
        </w:rPr>
        <w:t xml:space="preserve">of </w:t>
      </w:r>
      <w:r w:rsidR="00403F10" w:rsidRPr="00FC47EB">
        <w:rPr>
          <w:lang w:val="en-US"/>
        </w:rPr>
        <w:t xml:space="preserve">the </w:t>
      </w:r>
      <w:r w:rsidR="003F3C0F" w:rsidRPr="00FC47EB">
        <w:rPr>
          <w:lang w:val="en-US"/>
        </w:rPr>
        <w:t>NPL</w:t>
      </w:r>
      <w:r w:rsidR="00403F10" w:rsidRPr="00FC47EB">
        <w:rPr>
          <w:lang w:val="en-US"/>
        </w:rPr>
        <w:t xml:space="preserve"> and functional additives</w:t>
      </w:r>
      <w:r w:rsidR="000A6FD1" w:rsidRPr="00FC47EB">
        <w:rPr>
          <w:lang w:val="en-US"/>
        </w:rPr>
        <w:t xml:space="preserve"> </w:t>
      </w:r>
      <w:r w:rsidR="00A94A57" w:rsidRPr="00FC47EB">
        <w:rPr>
          <w:lang w:val="en-US"/>
        </w:rPr>
        <w:t xml:space="preserve">on the </w:t>
      </w:r>
      <w:r w:rsidR="000D6F68" w:rsidRPr="00FC47EB">
        <w:rPr>
          <w:lang w:val="en-US"/>
        </w:rPr>
        <w:t>NMC811</w:t>
      </w:r>
      <w:r w:rsidR="000D6F68" w:rsidRPr="00FC47EB">
        <w:rPr>
          <w:rFonts w:ascii="Century Schoolbook" w:hAnsi="Century Schoolbook"/>
          <w:lang w:val="en-US"/>
        </w:rPr>
        <w:t>║</w:t>
      </w:r>
      <w:r w:rsidR="000D6F68" w:rsidRPr="00FC47EB">
        <w:rPr>
          <w:lang w:val="en-US"/>
        </w:rPr>
        <w:t xml:space="preserve">Li </w:t>
      </w:r>
      <w:r w:rsidR="000A6FD1" w:rsidRPr="00FC47EB">
        <w:rPr>
          <w:lang w:val="en-US"/>
        </w:rPr>
        <w:t xml:space="preserve">full </w:t>
      </w:r>
      <w:r w:rsidR="000D6F68" w:rsidRPr="00FC47EB">
        <w:rPr>
          <w:lang w:val="en-US"/>
        </w:rPr>
        <w:t xml:space="preserve">cell </w:t>
      </w:r>
      <w:r w:rsidR="003800F5" w:rsidRPr="00FC47EB">
        <w:rPr>
          <w:lang w:val="en-US"/>
        </w:rPr>
        <w:t>p</w:t>
      </w:r>
      <w:r w:rsidR="00A94A57" w:rsidRPr="00FC47EB">
        <w:rPr>
          <w:lang w:val="en-US"/>
        </w:rPr>
        <w:t>erformance</w:t>
      </w:r>
      <w:r w:rsidR="000A6FD1" w:rsidRPr="00FC47EB">
        <w:rPr>
          <w:lang w:val="en-US"/>
        </w:rPr>
        <w:t>.</w:t>
      </w:r>
      <w:r w:rsidR="00D2008D" w:rsidRPr="00FC47EB">
        <w:rPr>
          <w:lang w:val="en-US"/>
        </w:rPr>
        <w:t xml:space="preserve"> </w:t>
      </w:r>
    </w:p>
    <w:p w14:paraId="7688189E" w14:textId="77777777" w:rsidR="00D2008D" w:rsidRPr="00FC47EB" w:rsidRDefault="00510D5D" w:rsidP="009F2841">
      <w:pPr>
        <w:pStyle w:val="MT1"/>
      </w:pPr>
      <w:r w:rsidRPr="00FC47EB">
        <w:t>Exp</w:t>
      </w:r>
      <w:r w:rsidR="003A426C" w:rsidRPr="00FC47EB">
        <w:t>erimental</w:t>
      </w:r>
      <w:r w:rsidR="00F06BFE" w:rsidRPr="00FC47EB">
        <w:t xml:space="preserve"> Section</w:t>
      </w:r>
    </w:p>
    <w:p w14:paraId="585152AC" w14:textId="5E254E4C" w:rsidR="007C5EE7" w:rsidRPr="00FC47EB" w:rsidRDefault="00D2008D" w:rsidP="009F2841">
      <w:pPr>
        <w:pStyle w:val="MT2"/>
      </w:pPr>
      <w:r w:rsidRPr="00FC47EB">
        <w:t>M</w:t>
      </w:r>
      <w:r w:rsidR="00F06BFE" w:rsidRPr="00FC47EB">
        <w:t>aterials</w:t>
      </w:r>
    </w:p>
    <w:p w14:paraId="7379E31D" w14:textId="5396CCD0" w:rsidR="00510D5D" w:rsidRPr="00CE15A6" w:rsidRDefault="00510D5D" w:rsidP="002222D9">
      <w:pPr>
        <w:pStyle w:val="Beschriftung"/>
        <w:rPr>
          <w:lang w:val="en-US"/>
        </w:rPr>
      </w:pPr>
      <w:r w:rsidRPr="00FC47EB">
        <w:rPr>
          <w:lang w:val="en-US"/>
        </w:rPr>
        <w:t>Lithium metal foil (China Energy Lithium Co., Ltd., 500μm thickness, 99.9%), used for reference cells, was stored in an argon filled glovebox (MBraun</w:t>
      </w:r>
      <w:r w:rsidR="00403F10">
        <w:rPr>
          <w:lang w:val="en-US"/>
        </w:rPr>
        <w:t xml:space="preserve"> </w:t>
      </w:r>
      <w:proofErr w:type="spellStart"/>
      <w:r w:rsidR="00403F10">
        <w:rPr>
          <w:lang w:val="en-US"/>
        </w:rPr>
        <w:t>Labmaster</w:t>
      </w:r>
      <w:proofErr w:type="spellEnd"/>
      <w:r w:rsidRPr="00CE15A6">
        <w:rPr>
          <w:lang w:val="en-US"/>
        </w:rPr>
        <w:t>, H</w:t>
      </w:r>
      <w:r w:rsidRPr="00CE15A6">
        <w:rPr>
          <w:vertAlign w:val="subscript"/>
          <w:lang w:val="en-US"/>
        </w:rPr>
        <w:t>2</w:t>
      </w:r>
      <w:r w:rsidR="007A59DD" w:rsidRPr="00CE15A6">
        <w:rPr>
          <w:lang w:val="en-US"/>
        </w:rPr>
        <w:t>O and</w:t>
      </w:r>
      <w:r w:rsidRPr="00CE15A6">
        <w:rPr>
          <w:lang w:val="en-US"/>
        </w:rPr>
        <w:t xml:space="preserve"> O</w:t>
      </w:r>
      <w:r w:rsidRPr="00CE15A6">
        <w:rPr>
          <w:vertAlign w:val="subscript"/>
          <w:lang w:val="en-US"/>
        </w:rPr>
        <w:t xml:space="preserve">2 </w:t>
      </w:r>
      <w:r w:rsidRPr="00CE15A6">
        <w:rPr>
          <w:lang w:val="en-US"/>
        </w:rPr>
        <w:t>content</w:t>
      </w:r>
      <w:r w:rsidRPr="00CE15A6">
        <w:rPr>
          <w:vertAlign w:val="subscript"/>
          <w:lang w:val="en-US"/>
        </w:rPr>
        <w:t xml:space="preserve"> </w:t>
      </w:r>
      <w:r w:rsidRPr="00CE15A6">
        <w:rPr>
          <w:lang w:val="en-US"/>
        </w:rPr>
        <w:t>&lt;0,1 ppm</w:t>
      </w:r>
      <w:r w:rsidR="00403F10">
        <w:rPr>
          <w:lang w:val="en-US"/>
        </w:rPr>
        <w:t>, N</w:t>
      </w:r>
      <w:r w:rsidR="00403F10" w:rsidRPr="00403F10">
        <w:rPr>
          <w:vertAlign w:val="subscript"/>
          <w:lang w:val="en-US"/>
        </w:rPr>
        <w:t>2</w:t>
      </w:r>
      <w:r w:rsidR="00403F10">
        <w:rPr>
          <w:lang w:val="en-US"/>
        </w:rPr>
        <w:t xml:space="preserve"> content &lt;5 ppm</w:t>
      </w:r>
      <w:r w:rsidRPr="00CE15A6">
        <w:rPr>
          <w:lang w:val="en-US"/>
        </w:rPr>
        <w:t>) and is referred to as pristine lithium (pLi). The lithium metal</w:t>
      </w:r>
      <w:r w:rsidR="003D175B">
        <w:rPr>
          <w:lang w:val="en-US"/>
        </w:rPr>
        <w:t>,</w:t>
      </w:r>
      <w:r w:rsidRPr="00CE15A6">
        <w:rPr>
          <w:lang w:val="en-US"/>
        </w:rPr>
        <w:t xml:space="preserve"> </w:t>
      </w:r>
      <w:r w:rsidR="00B17EA0" w:rsidRPr="00CE15A6">
        <w:rPr>
          <w:lang w:val="en-US"/>
        </w:rPr>
        <w:t xml:space="preserve">utilized </w:t>
      </w:r>
      <w:r w:rsidR="00403F10">
        <w:rPr>
          <w:lang w:val="en-US"/>
        </w:rPr>
        <w:t>for SEI p</w:t>
      </w:r>
      <w:r w:rsidRPr="00CE15A6">
        <w:rPr>
          <w:lang w:val="en-US"/>
        </w:rPr>
        <w:t>reformation</w:t>
      </w:r>
      <w:r w:rsidR="003D175B">
        <w:rPr>
          <w:lang w:val="en-US"/>
        </w:rPr>
        <w:t>,</w:t>
      </w:r>
      <w:r w:rsidRPr="00CE15A6">
        <w:rPr>
          <w:lang w:val="en-US"/>
        </w:rPr>
        <w:t xml:space="preserve"> was purchased from Sigma Aldrich </w:t>
      </w:r>
      <w:r w:rsidR="00B17EA0" w:rsidRPr="00CE15A6">
        <w:rPr>
          <w:lang w:val="en-US"/>
        </w:rPr>
        <w:t>and</w:t>
      </w:r>
      <w:r w:rsidR="00E67610" w:rsidRPr="00CE15A6">
        <w:rPr>
          <w:lang w:val="en-US"/>
        </w:rPr>
        <w:t xml:space="preserve"> </w:t>
      </w:r>
      <w:r w:rsidRPr="00CE15A6">
        <w:rPr>
          <w:lang w:val="en-US"/>
        </w:rPr>
        <w:t>used without further purification. NMC811 electrode</w:t>
      </w:r>
      <w:r w:rsidR="009253DA" w:rsidRPr="00CE15A6">
        <w:rPr>
          <w:lang w:val="en-US"/>
        </w:rPr>
        <w:t>s</w:t>
      </w:r>
      <w:r w:rsidRPr="00CE15A6">
        <w:rPr>
          <w:lang w:val="en-US"/>
        </w:rPr>
        <w:t xml:space="preserve"> with a</w:t>
      </w:r>
      <w:r w:rsidR="00DD5120" w:rsidRPr="00CE15A6">
        <w:rPr>
          <w:lang w:val="en-US"/>
        </w:rPr>
        <w:t>n active</w:t>
      </w:r>
      <w:r w:rsidRPr="00CE15A6">
        <w:rPr>
          <w:lang w:val="en-US"/>
        </w:rPr>
        <w:t xml:space="preserve"> mass loading of 1</w:t>
      </w:r>
      <w:r w:rsidR="00403F10">
        <w:rPr>
          <w:lang w:val="en-US"/>
        </w:rPr>
        <w:t>.03</w:t>
      </w:r>
      <w:r w:rsidRPr="00CE15A6">
        <w:rPr>
          <w:lang w:val="en-US"/>
        </w:rPr>
        <w:t> mAh cm</w:t>
      </w:r>
      <w:r w:rsidR="003D175B">
        <w:rPr>
          <w:vertAlign w:val="superscript"/>
          <w:lang w:val="en-US"/>
        </w:rPr>
        <w:noBreakHyphen/>
      </w:r>
      <w:r w:rsidRPr="00CE15A6">
        <w:rPr>
          <w:vertAlign w:val="superscript"/>
          <w:lang w:val="en-US"/>
        </w:rPr>
        <w:t>2</w:t>
      </w:r>
      <w:r w:rsidR="00E67610" w:rsidRPr="00CE15A6">
        <w:rPr>
          <w:lang w:val="en-US"/>
        </w:rPr>
        <w:t xml:space="preserve">, </w:t>
      </w:r>
      <w:r w:rsidRPr="00CE15A6">
        <w:rPr>
          <w:lang w:val="en-US"/>
        </w:rPr>
        <w:t>purchased from Custom Cells</w:t>
      </w:r>
      <w:r w:rsidR="00E67610" w:rsidRPr="00CE15A6">
        <w:rPr>
          <w:lang w:val="en-US"/>
        </w:rPr>
        <w:t>,</w:t>
      </w:r>
      <w:r w:rsidRPr="00CE15A6">
        <w:rPr>
          <w:lang w:val="en-US"/>
        </w:rPr>
        <w:t xml:space="preserve"> </w:t>
      </w:r>
      <w:r w:rsidR="00DF4DB9" w:rsidRPr="00CE15A6">
        <w:rPr>
          <w:lang w:val="en-US"/>
        </w:rPr>
        <w:t xml:space="preserve">were </w:t>
      </w:r>
      <w:r w:rsidRPr="00CE15A6">
        <w:rPr>
          <w:lang w:val="en-US"/>
        </w:rPr>
        <w:t>dried at 120 °C in vacuum for at least 24 h before use.</w:t>
      </w:r>
    </w:p>
    <w:p w14:paraId="260AC64C" w14:textId="1C201F4E" w:rsidR="00510D5D" w:rsidRPr="00CE15A6" w:rsidRDefault="00510D5D" w:rsidP="002222D9">
      <w:pPr>
        <w:pStyle w:val="Beschriftung"/>
        <w:rPr>
          <w:lang w:val="en-US"/>
        </w:rPr>
      </w:pPr>
      <w:r w:rsidRPr="00CE15A6">
        <w:rPr>
          <w:lang w:val="en-US"/>
        </w:rPr>
        <w:t>T</w:t>
      </w:r>
      <w:r w:rsidR="00DD5120" w:rsidRPr="00CE15A6">
        <w:rPr>
          <w:lang w:val="en-US"/>
        </w:rPr>
        <w:t xml:space="preserve">he </w:t>
      </w:r>
      <w:r w:rsidR="00DE628B" w:rsidRPr="00CE15A6">
        <w:rPr>
          <w:lang w:val="en-US"/>
        </w:rPr>
        <w:t xml:space="preserve">study utilized the </w:t>
      </w:r>
      <w:r w:rsidR="00DD5120" w:rsidRPr="00CE15A6">
        <w:rPr>
          <w:lang w:val="en-US"/>
        </w:rPr>
        <w:t xml:space="preserve">following </w:t>
      </w:r>
      <w:r w:rsidR="00DC2A7E" w:rsidRPr="00CE15A6">
        <w:rPr>
          <w:lang w:val="en-US"/>
        </w:rPr>
        <w:t>three</w:t>
      </w:r>
      <w:r w:rsidRPr="00CE15A6">
        <w:rPr>
          <w:lang w:val="en-US"/>
        </w:rPr>
        <w:t xml:space="preserve"> electrolyte</w:t>
      </w:r>
      <w:r w:rsidR="00DD5120" w:rsidRPr="00CE15A6">
        <w:rPr>
          <w:lang w:val="en-US"/>
        </w:rPr>
        <w:t xml:space="preserve"> formulation</w:t>
      </w:r>
      <w:r w:rsidRPr="00CE15A6">
        <w:rPr>
          <w:lang w:val="en-US"/>
        </w:rPr>
        <w:t xml:space="preserve">s: </w:t>
      </w:r>
      <w:r w:rsidR="00874E99">
        <w:rPr>
          <w:lang w:val="en-US"/>
        </w:rPr>
        <w:t>t</w:t>
      </w:r>
      <w:r w:rsidRPr="00CE15A6">
        <w:rPr>
          <w:lang w:val="en-US"/>
        </w:rPr>
        <w:t xml:space="preserve">he baseline electrolyte </w:t>
      </w:r>
      <w:r w:rsidR="00DE628B" w:rsidRPr="00CE15A6">
        <w:rPr>
          <w:lang w:val="en-US"/>
        </w:rPr>
        <w:t>(BE) (1.2 M LiPF</w:t>
      </w:r>
      <w:r w:rsidR="00DE628B" w:rsidRPr="00CE15A6">
        <w:rPr>
          <w:vertAlign w:val="subscript"/>
          <w:lang w:val="en-US"/>
        </w:rPr>
        <w:t xml:space="preserve">6 </w:t>
      </w:r>
      <w:r w:rsidR="00DE628B" w:rsidRPr="00CE15A6">
        <w:rPr>
          <w:lang w:val="en-US"/>
        </w:rPr>
        <w:t>in EC:EMC 3:7 (m/m)</w:t>
      </w:r>
      <w:r w:rsidRPr="00CE15A6">
        <w:rPr>
          <w:lang w:val="en-US"/>
        </w:rPr>
        <w:t xml:space="preserve">) and the </w:t>
      </w:r>
      <w:r w:rsidR="00194EA6" w:rsidRPr="00CE15A6">
        <w:rPr>
          <w:lang w:val="en-US"/>
        </w:rPr>
        <w:t xml:space="preserve">two </w:t>
      </w:r>
      <w:r w:rsidRPr="00CE15A6">
        <w:rPr>
          <w:lang w:val="en-US"/>
        </w:rPr>
        <w:t>film-forming additive containing electrolyte</w:t>
      </w:r>
      <w:r w:rsidR="00874E99">
        <w:rPr>
          <w:lang w:val="en-US"/>
        </w:rPr>
        <w:t>s</w:t>
      </w:r>
      <w:r w:rsidRPr="00CE15A6">
        <w:rPr>
          <w:lang w:val="en-US"/>
        </w:rPr>
        <w:t xml:space="preserve"> AE</w:t>
      </w:r>
      <w:r w:rsidR="009253DA" w:rsidRPr="00CE15A6">
        <w:rPr>
          <w:lang w:val="en-US"/>
        </w:rPr>
        <w:noBreakHyphen/>
      </w:r>
      <w:r w:rsidRPr="00CE15A6">
        <w:rPr>
          <w:lang w:val="en-US"/>
        </w:rPr>
        <w:t>VC (</w:t>
      </w:r>
      <w:r w:rsidR="00DE628B" w:rsidRPr="00CE15A6">
        <w:rPr>
          <w:lang w:val="en-US"/>
        </w:rPr>
        <w:t>1.2 M LiPF</w:t>
      </w:r>
      <w:r w:rsidR="00DE628B" w:rsidRPr="00CE15A6">
        <w:rPr>
          <w:vertAlign w:val="subscript"/>
          <w:lang w:val="en-US"/>
        </w:rPr>
        <w:t xml:space="preserve">6 </w:t>
      </w:r>
      <w:r w:rsidR="00DE628B" w:rsidRPr="00CE15A6">
        <w:rPr>
          <w:lang w:val="en-US"/>
        </w:rPr>
        <w:t xml:space="preserve">in </w:t>
      </w:r>
      <w:r w:rsidRPr="00CE15A6">
        <w:rPr>
          <w:lang w:val="en-US"/>
        </w:rPr>
        <w:t>EC:EMC 3:7 (m/m) +5 wt% VC)</w:t>
      </w:r>
      <w:r w:rsidR="00194EA6" w:rsidRPr="00CE15A6">
        <w:rPr>
          <w:lang w:val="en-US"/>
        </w:rPr>
        <w:t xml:space="preserve"> and AE-FEC (1.2 M LiPF</w:t>
      </w:r>
      <w:r w:rsidR="00194EA6" w:rsidRPr="00CE15A6">
        <w:rPr>
          <w:vertAlign w:val="subscript"/>
          <w:lang w:val="en-US"/>
        </w:rPr>
        <w:t xml:space="preserve">6 </w:t>
      </w:r>
      <w:r w:rsidR="00194EA6" w:rsidRPr="00CE15A6">
        <w:rPr>
          <w:lang w:val="en-US"/>
        </w:rPr>
        <w:t xml:space="preserve">in </w:t>
      </w:r>
      <w:r w:rsidR="00DC2A7E" w:rsidRPr="00CE15A6">
        <w:rPr>
          <w:lang w:val="en-US"/>
        </w:rPr>
        <w:t>EC:EMC 3:7 (m/m) +6.09</w:t>
      </w:r>
      <w:r w:rsidR="00194EA6" w:rsidRPr="00CE15A6">
        <w:rPr>
          <w:lang w:val="en-US"/>
        </w:rPr>
        <w:t> wt% FEC)</w:t>
      </w:r>
      <w:r w:rsidR="00DE628B" w:rsidRPr="00CE15A6">
        <w:rPr>
          <w:lang w:val="en-US"/>
        </w:rPr>
        <w:t xml:space="preserve">, </w:t>
      </w:r>
      <w:r w:rsidRPr="00CE15A6">
        <w:rPr>
          <w:lang w:val="en-US"/>
        </w:rPr>
        <w:t>purchased from E</w:t>
      </w:r>
      <w:r w:rsidR="009253DA" w:rsidRPr="00CE15A6">
        <w:rPr>
          <w:lang w:val="en-US"/>
        </w:rPr>
        <w:noBreakHyphen/>
      </w:r>
      <w:proofErr w:type="spellStart"/>
      <w:r w:rsidRPr="00CE15A6">
        <w:rPr>
          <w:lang w:val="en-US"/>
        </w:rPr>
        <w:t>lyte</w:t>
      </w:r>
      <w:proofErr w:type="spellEnd"/>
      <w:r w:rsidRPr="00CE15A6">
        <w:rPr>
          <w:lang w:val="en-US"/>
        </w:rPr>
        <w:t xml:space="preserve"> Innovations, used as received for </w:t>
      </w:r>
      <w:r w:rsidR="001A60DE" w:rsidRPr="00CE15A6">
        <w:rPr>
          <w:lang w:val="en-US"/>
        </w:rPr>
        <w:t xml:space="preserve">coin </w:t>
      </w:r>
      <w:r w:rsidRPr="00CE15A6">
        <w:rPr>
          <w:lang w:val="en-US"/>
        </w:rPr>
        <w:t>cell</w:t>
      </w:r>
      <w:r w:rsidR="001A60DE" w:rsidRPr="00CE15A6">
        <w:rPr>
          <w:lang w:val="en-US"/>
        </w:rPr>
        <w:t xml:space="preserve"> 2032</w:t>
      </w:r>
      <w:r w:rsidRPr="00CE15A6">
        <w:rPr>
          <w:lang w:val="en-US"/>
        </w:rPr>
        <w:t xml:space="preserve"> assembly</w:t>
      </w:r>
      <w:r w:rsidR="00403F10">
        <w:rPr>
          <w:lang w:val="en-US"/>
        </w:rPr>
        <w:t xml:space="preserve"> </w:t>
      </w:r>
      <w:r w:rsidRPr="00CE15A6">
        <w:rPr>
          <w:lang w:val="en-US"/>
        </w:rPr>
        <w:t xml:space="preserve">and the preformation method. </w:t>
      </w:r>
      <w:r w:rsidR="00194EA6" w:rsidRPr="00CE15A6">
        <w:rPr>
          <w:lang w:val="en-US"/>
        </w:rPr>
        <w:t xml:space="preserve">The electrolytes were </w:t>
      </w:r>
      <w:r w:rsidR="00403F10" w:rsidRPr="00CE15A6">
        <w:rPr>
          <w:lang w:val="en-US"/>
        </w:rPr>
        <w:t>stored</w:t>
      </w:r>
      <w:r w:rsidR="00194EA6" w:rsidRPr="00CE15A6">
        <w:rPr>
          <w:lang w:val="en-US"/>
        </w:rPr>
        <w:t xml:space="preserve"> in </w:t>
      </w:r>
      <w:r w:rsidR="00DC2A7E" w:rsidRPr="00CE15A6">
        <w:rPr>
          <w:lang w:val="en-US"/>
        </w:rPr>
        <w:t>an argon filled glovebox (MBraun, H</w:t>
      </w:r>
      <w:r w:rsidR="00DC2A7E" w:rsidRPr="00CE15A6">
        <w:rPr>
          <w:vertAlign w:val="subscript"/>
          <w:lang w:val="en-US"/>
        </w:rPr>
        <w:t>2</w:t>
      </w:r>
      <w:r w:rsidR="00DC2A7E" w:rsidRPr="00CE15A6">
        <w:rPr>
          <w:lang w:val="en-US"/>
        </w:rPr>
        <w:t>O and O</w:t>
      </w:r>
      <w:r w:rsidR="00DC2A7E" w:rsidRPr="00CE15A6">
        <w:rPr>
          <w:vertAlign w:val="subscript"/>
          <w:lang w:val="en-US"/>
        </w:rPr>
        <w:t xml:space="preserve">2 </w:t>
      </w:r>
      <w:r w:rsidR="00DC2A7E" w:rsidRPr="00CE15A6">
        <w:rPr>
          <w:lang w:val="en-US"/>
        </w:rPr>
        <w:t>content</w:t>
      </w:r>
      <w:r w:rsidR="00DC2A7E" w:rsidRPr="00CE15A6">
        <w:rPr>
          <w:vertAlign w:val="subscript"/>
          <w:lang w:val="en-US"/>
        </w:rPr>
        <w:t xml:space="preserve"> </w:t>
      </w:r>
      <w:r w:rsidR="00DC2A7E" w:rsidRPr="00CE15A6">
        <w:rPr>
          <w:lang w:val="en-US"/>
        </w:rPr>
        <w:t>&lt;0,1 ppm</w:t>
      </w:r>
      <w:r w:rsidR="00403F10">
        <w:rPr>
          <w:lang w:val="en-US"/>
        </w:rPr>
        <w:t>, N</w:t>
      </w:r>
      <w:r w:rsidR="00403F10" w:rsidRPr="00403F10">
        <w:rPr>
          <w:vertAlign w:val="subscript"/>
          <w:lang w:val="en-US"/>
        </w:rPr>
        <w:t>2</w:t>
      </w:r>
      <w:r w:rsidR="00403F10">
        <w:rPr>
          <w:lang w:val="en-US"/>
        </w:rPr>
        <w:t xml:space="preserve"> content &lt;5 ppm</w:t>
      </w:r>
      <w:r w:rsidR="00DC2A7E" w:rsidRPr="00CE15A6">
        <w:rPr>
          <w:lang w:val="en-US"/>
        </w:rPr>
        <w:t>).</w:t>
      </w:r>
    </w:p>
    <w:p w14:paraId="066627B5" w14:textId="108DFBC8" w:rsidR="00510D5D" w:rsidRPr="00CE15A6" w:rsidRDefault="00DC2A7E" w:rsidP="002222D9">
      <w:pPr>
        <w:pStyle w:val="Beschriftung"/>
        <w:rPr>
          <w:lang w:val="en-US"/>
        </w:rPr>
      </w:pPr>
      <w:r w:rsidRPr="00CE15A6">
        <w:rPr>
          <w:lang w:val="en-US"/>
        </w:rPr>
        <w:t>SEI preformation a</w:t>
      </w:r>
      <w:r w:rsidR="00D36B42" w:rsidRPr="00CE15A6">
        <w:rPr>
          <w:lang w:val="en-US"/>
        </w:rPr>
        <w:t>nd</w:t>
      </w:r>
      <w:r w:rsidR="00510D5D" w:rsidRPr="00CE15A6">
        <w:rPr>
          <w:lang w:val="en-US"/>
        </w:rPr>
        <w:t xml:space="preserve"> </w:t>
      </w:r>
      <w:r w:rsidR="006B060A">
        <w:rPr>
          <w:lang w:val="en-US"/>
        </w:rPr>
        <w:t xml:space="preserve">2032 </w:t>
      </w:r>
      <w:r w:rsidR="00510D5D" w:rsidRPr="00CE15A6">
        <w:rPr>
          <w:lang w:val="en-US"/>
        </w:rPr>
        <w:t xml:space="preserve">coin </w:t>
      </w:r>
      <w:r w:rsidR="005D4CF1" w:rsidRPr="00CE15A6">
        <w:rPr>
          <w:lang w:val="en-US"/>
        </w:rPr>
        <w:t>cell assembly</w:t>
      </w:r>
      <w:r w:rsidR="00403F10">
        <w:rPr>
          <w:lang w:val="en-US"/>
        </w:rPr>
        <w:t>,</w:t>
      </w:r>
      <w:r w:rsidR="00510D5D" w:rsidRPr="00CE15A6">
        <w:rPr>
          <w:lang w:val="en-US"/>
        </w:rPr>
        <w:t xml:space="preserve"> as well as </w:t>
      </w:r>
      <w:r w:rsidR="00D36B42" w:rsidRPr="00CE15A6">
        <w:rPr>
          <w:i/>
          <w:lang w:val="en-US"/>
        </w:rPr>
        <w:t xml:space="preserve">post mortem </w:t>
      </w:r>
      <w:r w:rsidRPr="00CE15A6">
        <w:rPr>
          <w:lang w:val="en-US"/>
        </w:rPr>
        <w:t xml:space="preserve">sample preparation for </w:t>
      </w:r>
      <w:r w:rsidR="00403F10">
        <w:rPr>
          <w:lang w:val="en-US"/>
        </w:rPr>
        <w:t xml:space="preserve">SEM </w:t>
      </w:r>
      <w:r w:rsidR="00495F52" w:rsidRPr="00CE15A6">
        <w:rPr>
          <w:lang w:val="en-US"/>
        </w:rPr>
        <w:t xml:space="preserve">and </w:t>
      </w:r>
      <w:r w:rsidRPr="00CE15A6">
        <w:rPr>
          <w:lang w:val="en-US"/>
        </w:rPr>
        <w:t>R</w:t>
      </w:r>
      <w:r w:rsidR="00874E99">
        <w:rPr>
          <w:lang w:val="en-US"/>
        </w:rPr>
        <w:t>aman</w:t>
      </w:r>
      <w:r w:rsidR="00510D5D" w:rsidRPr="00CE15A6">
        <w:rPr>
          <w:lang w:val="en-US"/>
        </w:rPr>
        <w:t xml:space="preserve"> measurements, were </w:t>
      </w:r>
      <w:r w:rsidR="00EB0228" w:rsidRPr="00CE15A6">
        <w:rPr>
          <w:lang w:val="en-US"/>
        </w:rPr>
        <w:t xml:space="preserve">performed </w:t>
      </w:r>
      <w:r w:rsidR="00510D5D" w:rsidRPr="00CE15A6">
        <w:rPr>
          <w:lang w:val="en-US"/>
        </w:rPr>
        <w:t xml:space="preserve">in an </w:t>
      </w:r>
      <w:r w:rsidR="00874E99">
        <w:rPr>
          <w:lang w:val="en-US"/>
        </w:rPr>
        <w:t xml:space="preserve">Ar </w:t>
      </w:r>
      <w:r w:rsidR="00510D5D" w:rsidRPr="00CE15A6">
        <w:rPr>
          <w:lang w:val="en-US"/>
        </w:rPr>
        <w:t xml:space="preserve">filled glovebox (MBraun </w:t>
      </w:r>
      <w:proofErr w:type="spellStart"/>
      <w:r w:rsidR="00510D5D" w:rsidRPr="00CE15A6">
        <w:rPr>
          <w:lang w:val="en-US"/>
        </w:rPr>
        <w:t>Labmaster</w:t>
      </w:r>
      <w:proofErr w:type="spellEnd"/>
      <w:r w:rsidR="00510D5D" w:rsidRPr="00CE15A6">
        <w:rPr>
          <w:lang w:val="en-US"/>
        </w:rPr>
        <w:t>, H</w:t>
      </w:r>
      <w:r w:rsidR="00510D5D" w:rsidRPr="00CE15A6">
        <w:rPr>
          <w:vertAlign w:val="subscript"/>
          <w:lang w:val="en-US"/>
        </w:rPr>
        <w:t>2</w:t>
      </w:r>
      <w:r w:rsidR="00510D5D" w:rsidRPr="00CE15A6">
        <w:rPr>
          <w:lang w:val="en-US"/>
        </w:rPr>
        <w:t>O</w:t>
      </w:r>
      <w:r w:rsidR="00EB0228" w:rsidRPr="00CE15A6">
        <w:rPr>
          <w:lang w:val="en-US"/>
        </w:rPr>
        <w:t xml:space="preserve"> and</w:t>
      </w:r>
      <w:r w:rsidR="00510D5D" w:rsidRPr="00CE15A6">
        <w:rPr>
          <w:lang w:val="en-US"/>
        </w:rPr>
        <w:t xml:space="preserve"> O</w:t>
      </w:r>
      <w:r w:rsidR="00510D5D" w:rsidRPr="00CE15A6">
        <w:rPr>
          <w:vertAlign w:val="subscript"/>
          <w:lang w:val="en-US"/>
        </w:rPr>
        <w:t xml:space="preserve">2 </w:t>
      </w:r>
      <w:r w:rsidR="00510D5D" w:rsidRPr="00CE15A6">
        <w:rPr>
          <w:lang w:val="en-US"/>
        </w:rPr>
        <w:t>content</w:t>
      </w:r>
      <w:r w:rsidR="00510D5D" w:rsidRPr="00CE15A6">
        <w:rPr>
          <w:vertAlign w:val="subscript"/>
          <w:lang w:val="en-US"/>
        </w:rPr>
        <w:t xml:space="preserve"> </w:t>
      </w:r>
      <w:r w:rsidR="00510D5D" w:rsidRPr="00CE15A6">
        <w:rPr>
          <w:lang w:val="en-US"/>
        </w:rPr>
        <w:t>&lt;0,1 ppm</w:t>
      </w:r>
      <w:r w:rsidR="00403F10">
        <w:rPr>
          <w:lang w:val="en-US"/>
        </w:rPr>
        <w:t>, N</w:t>
      </w:r>
      <w:r w:rsidR="00403F10" w:rsidRPr="00403F10">
        <w:rPr>
          <w:vertAlign w:val="subscript"/>
          <w:lang w:val="en-US"/>
        </w:rPr>
        <w:t>2</w:t>
      </w:r>
      <w:r w:rsidR="00403F10">
        <w:rPr>
          <w:lang w:val="en-US"/>
        </w:rPr>
        <w:t xml:space="preserve"> content &lt;5 ppm</w:t>
      </w:r>
      <w:r w:rsidR="00510D5D" w:rsidRPr="00CE15A6">
        <w:rPr>
          <w:lang w:val="en-US"/>
        </w:rPr>
        <w:t>).</w:t>
      </w:r>
      <w:r w:rsidR="00475E08" w:rsidRPr="00CE15A6">
        <w:rPr>
          <w:lang w:val="en-US"/>
        </w:rPr>
        <w:t xml:space="preserve"> </w:t>
      </w:r>
      <w:r w:rsidR="00874E99">
        <w:rPr>
          <w:lang w:val="en-US"/>
        </w:rPr>
        <w:t>F</w:t>
      </w:r>
      <w:r w:rsidR="00475E08" w:rsidRPr="00CE15A6">
        <w:rPr>
          <w:lang w:val="en-US"/>
        </w:rPr>
        <w:t xml:space="preserve">or </w:t>
      </w:r>
      <w:r w:rsidR="00475E08" w:rsidRPr="00CE15A6">
        <w:rPr>
          <w:i/>
          <w:lang w:val="en-US"/>
        </w:rPr>
        <w:t>post mortem</w:t>
      </w:r>
      <w:r w:rsidR="00475E08" w:rsidRPr="00CE15A6">
        <w:rPr>
          <w:lang w:val="en-US"/>
        </w:rPr>
        <w:t xml:space="preserve"> analysis</w:t>
      </w:r>
      <w:r w:rsidR="00D71859">
        <w:rPr>
          <w:lang w:val="en-US"/>
        </w:rPr>
        <w:t>, l</w:t>
      </w:r>
      <w:r w:rsidR="00D71859" w:rsidRPr="00CE15A6">
        <w:rPr>
          <w:lang w:val="en-US"/>
        </w:rPr>
        <w:t>ithium metal electrodes</w:t>
      </w:r>
      <w:r w:rsidR="00D71859">
        <w:rPr>
          <w:lang w:val="en-US"/>
        </w:rPr>
        <w:t xml:space="preserve"> </w:t>
      </w:r>
      <w:r w:rsidR="00475E08" w:rsidRPr="00CE15A6">
        <w:rPr>
          <w:lang w:val="en-US"/>
        </w:rPr>
        <w:t xml:space="preserve">were </w:t>
      </w:r>
      <w:r w:rsidR="00495F52" w:rsidRPr="00CE15A6">
        <w:rPr>
          <w:lang w:val="en-US"/>
        </w:rPr>
        <w:t>rinsed</w:t>
      </w:r>
      <w:r w:rsidR="00475E08" w:rsidRPr="00CE15A6">
        <w:rPr>
          <w:lang w:val="en-US"/>
        </w:rPr>
        <w:t xml:space="preserve"> with ethyl</w:t>
      </w:r>
      <w:r w:rsidR="00495F52" w:rsidRPr="00CE15A6">
        <w:rPr>
          <w:lang w:val="en-US"/>
        </w:rPr>
        <w:t xml:space="preserve"> </w:t>
      </w:r>
      <w:r w:rsidR="00475E08" w:rsidRPr="00CE15A6">
        <w:rPr>
          <w:lang w:val="en-US"/>
        </w:rPr>
        <w:t>methyl carbonate (</w:t>
      </w:r>
      <w:r w:rsidR="00DF4DB9" w:rsidRPr="00CE15A6">
        <w:rPr>
          <w:lang w:val="en-US"/>
        </w:rPr>
        <w:t xml:space="preserve">EMC; </w:t>
      </w:r>
      <w:r w:rsidRPr="00CE15A6">
        <w:rPr>
          <w:lang w:val="en-US"/>
        </w:rPr>
        <w:t>E</w:t>
      </w:r>
      <w:r w:rsidRPr="00CE15A6">
        <w:rPr>
          <w:lang w:val="en-US"/>
        </w:rPr>
        <w:noBreakHyphen/>
      </w:r>
      <w:proofErr w:type="spellStart"/>
      <w:r w:rsidRPr="00CE15A6">
        <w:rPr>
          <w:lang w:val="en-US"/>
        </w:rPr>
        <w:t>lyte</w:t>
      </w:r>
      <w:proofErr w:type="spellEnd"/>
      <w:r w:rsidRPr="00CE15A6">
        <w:rPr>
          <w:lang w:val="en-US"/>
        </w:rPr>
        <w:t xml:space="preserve"> Innovations</w:t>
      </w:r>
      <w:r w:rsidR="00475E08" w:rsidRPr="00CE15A6">
        <w:rPr>
          <w:lang w:val="en-US"/>
        </w:rPr>
        <w:t>)</w:t>
      </w:r>
      <w:r w:rsidR="00874E99">
        <w:rPr>
          <w:lang w:val="en-US"/>
        </w:rPr>
        <w:t>,</w:t>
      </w:r>
      <w:r w:rsidR="00475E08" w:rsidRPr="00CE15A6">
        <w:rPr>
          <w:lang w:val="en-US"/>
        </w:rPr>
        <w:t xml:space="preserve"> dried under vacuum in the antechamber for at least 15 minutes</w:t>
      </w:r>
      <w:r w:rsidR="00791DD5">
        <w:rPr>
          <w:lang w:val="en-US"/>
        </w:rPr>
        <w:t xml:space="preserve"> and </w:t>
      </w:r>
      <w:r w:rsidR="00475E08" w:rsidRPr="00CE15A6">
        <w:rPr>
          <w:lang w:val="en-US"/>
        </w:rPr>
        <w:t>transported to the workstation</w:t>
      </w:r>
      <w:r w:rsidR="00B938C8" w:rsidRPr="00CE15A6">
        <w:rPr>
          <w:lang w:val="en-US"/>
        </w:rPr>
        <w:t>s</w:t>
      </w:r>
      <w:r w:rsidR="00475E08" w:rsidRPr="00CE15A6">
        <w:rPr>
          <w:lang w:val="en-US"/>
        </w:rPr>
        <w:t xml:space="preserve"> using in-house-built </w:t>
      </w:r>
      <w:r w:rsidR="00403F10">
        <w:rPr>
          <w:lang w:val="en-US"/>
        </w:rPr>
        <w:t>(SEM</w:t>
      </w:r>
      <w:r w:rsidR="00B938C8" w:rsidRPr="00CE15A6">
        <w:rPr>
          <w:lang w:val="en-US"/>
        </w:rPr>
        <w:t>) or purchased (</w:t>
      </w:r>
      <w:r w:rsidRPr="00CE15A6">
        <w:rPr>
          <w:lang w:val="en-US"/>
        </w:rPr>
        <w:t>R</w:t>
      </w:r>
      <w:r w:rsidR="00874E99">
        <w:rPr>
          <w:lang w:val="en-US"/>
        </w:rPr>
        <w:t>aman</w:t>
      </w:r>
      <w:r w:rsidRPr="00CE15A6">
        <w:rPr>
          <w:lang w:val="en-US"/>
        </w:rPr>
        <w:t>: EL-CELL ECC-Opto-Std;</w:t>
      </w:r>
      <w:r w:rsidR="00B938C8" w:rsidRPr="00CE15A6">
        <w:rPr>
          <w:lang w:val="en-US"/>
        </w:rPr>
        <w:t xml:space="preserve"> </w:t>
      </w:r>
      <w:r w:rsidR="00B938C8" w:rsidRPr="00CE15A6">
        <w:rPr>
          <w:i/>
          <w:lang w:val="en-US"/>
        </w:rPr>
        <w:t>cryo</w:t>
      </w:r>
      <w:r w:rsidR="00B938C8" w:rsidRPr="00CE15A6">
        <w:rPr>
          <w:lang w:val="en-US"/>
        </w:rPr>
        <w:t xml:space="preserve"> SEM</w:t>
      </w:r>
      <w:r w:rsidRPr="00CE15A6">
        <w:rPr>
          <w:lang w:val="en-US"/>
        </w:rPr>
        <w:t xml:space="preserve">: </w:t>
      </w:r>
      <w:proofErr w:type="spellStart"/>
      <w:r w:rsidRPr="00CE15A6">
        <w:rPr>
          <w:lang w:val="en-US"/>
        </w:rPr>
        <w:t>Kammrath</w:t>
      </w:r>
      <w:proofErr w:type="spellEnd"/>
      <w:r w:rsidRPr="00CE15A6">
        <w:rPr>
          <w:lang w:val="en-US"/>
        </w:rPr>
        <w:t xml:space="preserve"> und Weiss</w:t>
      </w:r>
      <w:r w:rsidR="00B938C8" w:rsidRPr="00CE15A6">
        <w:rPr>
          <w:lang w:val="en-US"/>
        </w:rPr>
        <w:t xml:space="preserve">) </w:t>
      </w:r>
      <w:r w:rsidR="00475E08" w:rsidRPr="00CE15A6">
        <w:rPr>
          <w:lang w:val="en-US"/>
        </w:rPr>
        <w:t xml:space="preserve">sample transfer holder, excluding any contact with </w:t>
      </w:r>
      <w:r w:rsidR="00B938C8" w:rsidRPr="00CE15A6">
        <w:rPr>
          <w:lang w:val="en-US"/>
        </w:rPr>
        <w:t>the outer atmosphere</w:t>
      </w:r>
      <w:r w:rsidR="00475E08" w:rsidRPr="00CE15A6">
        <w:rPr>
          <w:lang w:val="en-US"/>
        </w:rPr>
        <w:t xml:space="preserve"> and/or moisture.</w:t>
      </w:r>
    </w:p>
    <w:p w14:paraId="180DF2EB" w14:textId="457AA756" w:rsidR="00510D5D" w:rsidRPr="001E4DE1" w:rsidRDefault="00510D5D" w:rsidP="009F2841">
      <w:pPr>
        <w:pStyle w:val="MT2"/>
      </w:pPr>
      <w:r w:rsidRPr="001E4DE1">
        <w:t xml:space="preserve">Stripping/plating and </w:t>
      </w:r>
      <w:r w:rsidR="00495F52" w:rsidRPr="001E4DE1">
        <w:t>g</w:t>
      </w:r>
      <w:r w:rsidRPr="001E4DE1">
        <w:t xml:space="preserve">alvanostatic </w:t>
      </w:r>
      <w:r w:rsidR="00495F52" w:rsidRPr="001E4DE1">
        <w:t>c</w:t>
      </w:r>
      <w:r w:rsidRPr="001E4DE1">
        <w:t>ycling</w:t>
      </w:r>
      <w:r w:rsidR="00EB0228" w:rsidRPr="001E4DE1">
        <w:t xml:space="preserve"> experiments</w:t>
      </w:r>
    </w:p>
    <w:p w14:paraId="6A2CE2A2" w14:textId="1983F943" w:rsidR="00510D5D" w:rsidRPr="00CE15A6" w:rsidRDefault="00510D5D" w:rsidP="002222D9">
      <w:pPr>
        <w:pStyle w:val="Beschriftung"/>
        <w:rPr>
          <w:lang w:val="en-US"/>
        </w:rPr>
      </w:pPr>
      <w:r w:rsidRPr="00CE15A6">
        <w:rPr>
          <w:lang w:val="en-US"/>
        </w:rPr>
        <w:t xml:space="preserve">Stripping/plating experiments </w:t>
      </w:r>
      <w:r w:rsidR="006B060A">
        <w:rPr>
          <w:lang w:val="en-US"/>
        </w:rPr>
        <w:t>in</w:t>
      </w:r>
      <w:r w:rsidR="004D7A1B">
        <w:rPr>
          <w:lang w:val="en-US"/>
        </w:rPr>
        <w:t xml:space="preserve"> </w:t>
      </w:r>
      <w:r w:rsidRPr="00CE15A6">
        <w:rPr>
          <w:lang w:val="en-US"/>
        </w:rPr>
        <w:t>Li||Li symmetric cells and galvanostatic cycling of NMC</w:t>
      </w:r>
      <w:r w:rsidR="00475E08" w:rsidRPr="00CE15A6">
        <w:rPr>
          <w:lang w:val="en-US"/>
        </w:rPr>
        <w:t>811</w:t>
      </w:r>
      <w:r w:rsidRPr="00CE15A6">
        <w:rPr>
          <w:lang w:val="en-US"/>
        </w:rPr>
        <w:t xml:space="preserve">||Li </w:t>
      </w:r>
      <w:r w:rsidR="00A816E0">
        <w:rPr>
          <w:lang w:val="en-US"/>
        </w:rPr>
        <w:t xml:space="preserve">full </w:t>
      </w:r>
      <w:r w:rsidRPr="00CE15A6">
        <w:rPr>
          <w:lang w:val="en-US"/>
        </w:rPr>
        <w:t xml:space="preserve">cells </w:t>
      </w:r>
      <w:r w:rsidR="008335A1" w:rsidRPr="008335A1">
        <w:rPr>
          <w:noProof/>
          <w:lang w:val="en-US"/>
        </w:rPr>
        <w:t>[38]</w:t>
      </w:r>
      <w:r w:rsidR="008335A1">
        <w:rPr>
          <w:lang w:val="en-US"/>
        </w:rPr>
        <w:t xml:space="preserve"> w</w:t>
      </w:r>
      <w:r w:rsidRPr="00CE15A6">
        <w:rPr>
          <w:lang w:val="en-US"/>
        </w:rPr>
        <w:t xml:space="preserve">ere performed at 20 °C using a MACCOR battery cycler (MACCOR Series 4000). </w:t>
      </w:r>
      <w:r w:rsidR="00347BA8" w:rsidRPr="00CE15A6">
        <w:rPr>
          <w:lang w:val="en-US"/>
        </w:rPr>
        <w:t>In each cell, e</w:t>
      </w:r>
      <w:r w:rsidRPr="00CE15A6">
        <w:rPr>
          <w:lang w:val="en-US"/>
        </w:rPr>
        <w:t xml:space="preserve">lectrodes with 12 mm diameter, </w:t>
      </w:r>
      <w:r w:rsidR="00347BA8" w:rsidRPr="00CE15A6">
        <w:rPr>
          <w:lang w:val="en-US"/>
        </w:rPr>
        <w:t xml:space="preserve">and electrolyte volume of </w:t>
      </w:r>
      <w:r w:rsidRPr="00CE15A6">
        <w:rPr>
          <w:lang w:val="en-US"/>
        </w:rPr>
        <w:t xml:space="preserve">30 µL </w:t>
      </w:r>
      <w:r w:rsidR="00DC2A7E" w:rsidRPr="00CE15A6">
        <w:rPr>
          <w:lang w:val="en-US"/>
        </w:rPr>
        <w:t xml:space="preserve">with </w:t>
      </w:r>
      <w:r w:rsidRPr="00CE15A6">
        <w:rPr>
          <w:lang w:val="en-US"/>
        </w:rPr>
        <w:t xml:space="preserve">one layer of Celgard 2500 </w:t>
      </w:r>
      <w:r w:rsidR="00D36B42" w:rsidRPr="00CE15A6">
        <w:rPr>
          <w:lang w:val="en-US"/>
        </w:rPr>
        <w:t xml:space="preserve">(16 mm diameter) </w:t>
      </w:r>
      <w:r w:rsidRPr="00CE15A6">
        <w:rPr>
          <w:lang w:val="en-US"/>
        </w:rPr>
        <w:t xml:space="preserve">were used. </w:t>
      </w:r>
      <w:r w:rsidR="00384800">
        <w:rPr>
          <w:lang w:val="en-US"/>
        </w:rPr>
        <w:t xml:space="preserve">All considered </w:t>
      </w:r>
      <w:r w:rsidRPr="00CE15A6">
        <w:rPr>
          <w:lang w:val="en-US"/>
        </w:rPr>
        <w:t>cell</w:t>
      </w:r>
      <w:r w:rsidR="00874E99">
        <w:rPr>
          <w:lang w:val="en-US"/>
        </w:rPr>
        <w:t>s</w:t>
      </w:r>
      <w:r w:rsidRPr="00CE15A6">
        <w:rPr>
          <w:lang w:val="en-US"/>
        </w:rPr>
        <w:t xml:space="preserve"> w</w:t>
      </w:r>
      <w:r w:rsidR="00874E99">
        <w:rPr>
          <w:lang w:val="en-US"/>
        </w:rPr>
        <w:t>ere</w:t>
      </w:r>
      <w:r w:rsidRPr="00CE15A6">
        <w:rPr>
          <w:lang w:val="en-US"/>
        </w:rPr>
        <w:t xml:space="preserve"> allowed to rest f</w:t>
      </w:r>
      <w:r w:rsidR="00D36B42" w:rsidRPr="00CE15A6">
        <w:rPr>
          <w:lang w:val="en-US"/>
        </w:rPr>
        <w:t>or 12 h prior to the experiment</w:t>
      </w:r>
      <w:r w:rsidRPr="00CE15A6">
        <w:rPr>
          <w:lang w:val="en-US"/>
        </w:rPr>
        <w:t xml:space="preserve">. </w:t>
      </w:r>
    </w:p>
    <w:p w14:paraId="56FF42B5" w14:textId="7B1DD8B8" w:rsidR="00510D5D" w:rsidRPr="00CE15A6" w:rsidRDefault="00510D5D" w:rsidP="002222D9">
      <w:pPr>
        <w:pStyle w:val="Beschriftung"/>
        <w:rPr>
          <w:lang w:val="en-US"/>
        </w:rPr>
      </w:pPr>
      <w:r w:rsidRPr="00CE15A6">
        <w:rPr>
          <w:lang w:val="en-US"/>
        </w:rPr>
        <w:t>Stripping/</w:t>
      </w:r>
      <w:r w:rsidR="00495F52" w:rsidRPr="00CE15A6">
        <w:rPr>
          <w:lang w:val="en-US"/>
        </w:rPr>
        <w:t>p</w:t>
      </w:r>
      <w:r w:rsidRPr="00CE15A6">
        <w:rPr>
          <w:lang w:val="en-US"/>
        </w:rPr>
        <w:t xml:space="preserve">lating experiments </w:t>
      </w:r>
      <w:r w:rsidR="008E7E3C">
        <w:rPr>
          <w:lang w:val="en-US"/>
        </w:rPr>
        <w:t xml:space="preserve">in </w:t>
      </w:r>
      <w:r w:rsidRPr="00CE15A6">
        <w:rPr>
          <w:lang w:val="en-US"/>
        </w:rPr>
        <w:t xml:space="preserve">Li||Li cells were carried out for 1000 </w:t>
      </w:r>
      <w:r w:rsidR="00BC6944" w:rsidRPr="00CE15A6">
        <w:rPr>
          <w:lang w:val="en-US"/>
        </w:rPr>
        <w:t xml:space="preserve">charge/discharge </w:t>
      </w:r>
      <w:r w:rsidRPr="00CE15A6">
        <w:rPr>
          <w:lang w:val="en-US"/>
        </w:rPr>
        <w:t>cycles at a constant current</w:t>
      </w:r>
      <w:r w:rsidR="00384800">
        <w:rPr>
          <w:lang w:val="en-US"/>
        </w:rPr>
        <w:t xml:space="preserve"> density</w:t>
      </w:r>
      <w:r w:rsidRPr="00CE15A6">
        <w:rPr>
          <w:lang w:val="en-US"/>
        </w:rPr>
        <w:t xml:space="preserve"> of 0.5 mA cm</w:t>
      </w:r>
      <w:r w:rsidRPr="00CE15A6">
        <w:rPr>
          <w:vertAlign w:val="superscript"/>
          <w:lang w:val="en-US"/>
        </w:rPr>
        <w:t>-2</w:t>
      </w:r>
      <w:r w:rsidRPr="00CE15A6">
        <w:rPr>
          <w:lang w:val="en-US"/>
        </w:rPr>
        <w:t xml:space="preserve">, with one-hour stripping and plating steps </w:t>
      </w:r>
      <w:r w:rsidR="00D36B42" w:rsidRPr="00CE15A6">
        <w:rPr>
          <w:lang w:val="en-US"/>
        </w:rPr>
        <w:t>(0.5 mAh cm</w:t>
      </w:r>
      <w:r w:rsidR="00475E08" w:rsidRPr="00CE15A6">
        <w:rPr>
          <w:vertAlign w:val="superscript"/>
          <w:lang w:val="en-US"/>
        </w:rPr>
        <w:noBreakHyphen/>
      </w:r>
      <w:r w:rsidR="00D36B42" w:rsidRPr="00CE15A6">
        <w:rPr>
          <w:vertAlign w:val="superscript"/>
          <w:lang w:val="en-US"/>
        </w:rPr>
        <w:t>2</w:t>
      </w:r>
      <w:r w:rsidR="00D36B42" w:rsidRPr="00CE15A6">
        <w:rPr>
          <w:lang w:val="en-US"/>
        </w:rPr>
        <w:t>)</w:t>
      </w:r>
      <w:r w:rsidRPr="00CE15A6">
        <w:rPr>
          <w:lang w:val="en-US"/>
        </w:rPr>
        <w:t xml:space="preserve">. Galvanostatic cycling </w:t>
      </w:r>
      <w:r w:rsidR="008E7E3C">
        <w:rPr>
          <w:lang w:val="en-US"/>
        </w:rPr>
        <w:t xml:space="preserve">in </w:t>
      </w:r>
      <w:r w:rsidRPr="00CE15A6">
        <w:rPr>
          <w:lang w:val="en-US"/>
        </w:rPr>
        <w:t>NMC</w:t>
      </w:r>
      <w:r w:rsidR="00475E08" w:rsidRPr="00CE15A6">
        <w:rPr>
          <w:lang w:val="en-US"/>
        </w:rPr>
        <w:t>811</w:t>
      </w:r>
      <w:r w:rsidRPr="00CE15A6">
        <w:rPr>
          <w:lang w:val="en-US"/>
        </w:rPr>
        <w:t>||Li cells was carried out at a constant current</w:t>
      </w:r>
      <w:r w:rsidR="006B060A">
        <w:rPr>
          <w:lang w:val="en-US"/>
        </w:rPr>
        <w:t xml:space="preserve"> density</w:t>
      </w:r>
      <w:r w:rsidRPr="00CE15A6">
        <w:rPr>
          <w:lang w:val="en-US"/>
        </w:rPr>
        <w:t xml:space="preserve"> of 0.5 mA cm</w:t>
      </w:r>
      <w:r w:rsidR="00475E08" w:rsidRPr="00CE15A6">
        <w:rPr>
          <w:vertAlign w:val="superscript"/>
          <w:lang w:val="en-US"/>
        </w:rPr>
        <w:noBreakHyphen/>
      </w:r>
      <w:r w:rsidRPr="00CE15A6">
        <w:rPr>
          <w:vertAlign w:val="superscript"/>
          <w:lang w:val="en-US"/>
        </w:rPr>
        <w:t>2</w:t>
      </w:r>
      <w:r w:rsidR="00D36B42" w:rsidRPr="00CE15A6">
        <w:rPr>
          <w:lang w:val="en-US"/>
        </w:rPr>
        <w:t xml:space="preserve"> (equivalent to </w:t>
      </w:r>
      <w:r w:rsidR="00475E08" w:rsidRPr="00CE15A6">
        <w:rPr>
          <w:lang w:val="en-US"/>
        </w:rPr>
        <w:t>~</w:t>
      </w:r>
      <w:r w:rsidR="00D36B42" w:rsidRPr="00CE15A6">
        <w:rPr>
          <w:lang w:val="en-US"/>
        </w:rPr>
        <w:t>0.5 C, based on 1.03 mAh cm</w:t>
      </w:r>
      <w:r w:rsidR="00D36B42" w:rsidRPr="00CE15A6">
        <w:rPr>
          <w:vertAlign w:val="superscript"/>
          <w:lang w:val="en-US"/>
        </w:rPr>
        <w:t>-2</w:t>
      </w:r>
      <w:r w:rsidR="00475E08" w:rsidRPr="00CE15A6">
        <w:rPr>
          <w:lang w:val="en-US"/>
        </w:rPr>
        <w:t xml:space="preserve"> area capacity)</w:t>
      </w:r>
      <w:r w:rsidRPr="00CE15A6">
        <w:rPr>
          <w:lang w:val="en-US"/>
        </w:rPr>
        <w:t xml:space="preserve"> in the </w:t>
      </w:r>
      <w:r w:rsidR="00BC6944" w:rsidRPr="00CE15A6">
        <w:rPr>
          <w:lang w:val="en-US"/>
        </w:rPr>
        <w:t xml:space="preserve">voltage </w:t>
      </w:r>
      <w:r w:rsidRPr="00CE15A6">
        <w:rPr>
          <w:lang w:val="en-US"/>
        </w:rPr>
        <w:t xml:space="preserve">range of </w:t>
      </w:r>
      <w:r w:rsidR="00A05F59">
        <w:rPr>
          <w:lang w:val="en-US"/>
        </w:rPr>
        <w:t xml:space="preserve">3 to </w:t>
      </w:r>
      <w:r w:rsidRPr="00CE15A6">
        <w:rPr>
          <w:lang w:val="en-US"/>
        </w:rPr>
        <w:t>4.2 V</w:t>
      </w:r>
      <w:r w:rsidR="00A05F59">
        <w:rPr>
          <w:lang w:val="en-US"/>
        </w:rPr>
        <w:t>.</w:t>
      </w:r>
    </w:p>
    <w:p w14:paraId="19AEFC23" w14:textId="4BA1EBE1" w:rsidR="00510D5D" w:rsidRPr="001E4DE1" w:rsidRDefault="008E2385" w:rsidP="009F2841">
      <w:pPr>
        <w:pStyle w:val="MT2"/>
      </w:pPr>
      <w:r>
        <w:t>O</w:t>
      </w:r>
      <w:r w:rsidR="00510D5D" w:rsidRPr="001E4DE1">
        <w:t xml:space="preserve">perando </w:t>
      </w:r>
      <w:r w:rsidR="00495F52" w:rsidRPr="001E4DE1">
        <w:t>electron i</w:t>
      </w:r>
      <w:r w:rsidR="00510D5D" w:rsidRPr="001E4DE1">
        <w:t xml:space="preserve">mpedance </w:t>
      </w:r>
      <w:r w:rsidR="00495F52" w:rsidRPr="001E4DE1">
        <w:t>s</w:t>
      </w:r>
      <w:r w:rsidR="00510D5D" w:rsidRPr="001E4DE1">
        <w:t>pectroscopy</w:t>
      </w:r>
    </w:p>
    <w:p w14:paraId="7CB286CA" w14:textId="24068887" w:rsidR="001D7849" w:rsidRDefault="008E2385" w:rsidP="002222D9">
      <w:pPr>
        <w:pStyle w:val="Beschriftung"/>
        <w:rPr>
          <w:lang w:val="en-US"/>
        </w:rPr>
      </w:pPr>
      <w:r>
        <w:rPr>
          <w:i/>
          <w:lang w:val="en-US"/>
        </w:rPr>
        <w:t>O</w:t>
      </w:r>
      <w:r w:rsidR="00510D5D" w:rsidRPr="00CE15A6">
        <w:rPr>
          <w:i/>
          <w:lang w:val="en-US"/>
        </w:rPr>
        <w:t xml:space="preserve">perando </w:t>
      </w:r>
      <w:r w:rsidR="00495F52" w:rsidRPr="00CE15A6">
        <w:rPr>
          <w:lang w:val="en-US"/>
        </w:rPr>
        <w:t>e</w:t>
      </w:r>
      <w:r w:rsidR="00816400" w:rsidRPr="00CE15A6">
        <w:rPr>
          <w:lang w:val="en-US"/>
        </w:rPr>
        <w:t xml:space="preserve">lectron </w:t>
      </w:r>
      <w:r w:rsidR="006E1561" w:rsidRPr="00CE15A6">
        <w:rPr>
          <w:lang w:val="en-US"/>
        </w:rPr>
        <w:t>i</w:t>
      </w:r>
      <w:r w:rsidR="00816400" w:rsidRPr="00CE15A6">
        <w:rPr>
          <w:lang w:val="en-US"/>
        </w:rPr>
        <w:t xml:space="preserve">mpedance </w:t>
      </w:r>
      <w:r w:rsidR="006E1561" w:rsidRPr="00CE15A6">
        <w:rPr>
          <w:lang w:val="en-US"/>
        </w:rPr>
        <w:t>s</w:t>
      </w:r>
      <w:r w:rsidR="00816400" w:rsidRPr="00CE15A6">
        <w:rPr>
          <w:lang w:val="en-US"/>
        </w:rPr>
        <w:t>pectroscopy (</w:t>
      </w:r>
      <w:r w:rsidR="00510D5D" w:rsidRPr="00CE15A6">
        <w:rPr>
          <w:lang w:val="en-US"/>
        </w:rPr>
        <w:t>EIS</w:t>
      </w:r>
      <w:r w:rsidR="00495F52" w:rsidRPr="00CE15A6">
        <w:rPr>
          <w:lang w:val="en-US"/>
        </w:rPr>
        <w:t xml:space="preserve">) </w:t>
      </w:r>
      <w:r w:rsidR="00510D5D" w:rsidRPr="00CE15A6">
        <w:rPr>
          <w:lang w:val="en-US"/>
        </w:rPr>
        <w:t>measurements were carried out at a Bio-Logic VMP3 workstation. Li||Li symmetric cell w</w:t>
      </w:r>
      <w:r w:rsidR="001E399C">
        <w:rPr>
          <w:lang w:val="en-US"/>
        </w:rPr>
        <w:t>ere</w:t>
      </w:r>
      <w:r w:rsidR="00510D5D" w:rsidRPr="00CE15A6">
        <w:rPr>
          <w:lang w:val="en-US"/>
        </w:rPr>
        <w:t xml:space="preserve"> cycled 50 times (charged and discharged for 1 h each at 0.</w:t>
      </w:r>
      <w:r w:rsidR="00475E08" w:rsidRPr="00CE15A6">
        <w:rPr>
          <w:lang w:val="en-US"/>
        </w:rPr>
        <w:t>5</w:t>
      </w:r>
      <w:r w:rsidR="00510D5D" w:rsidRPr="00CE15A6">
        <w:rPr>
          <w:lang w:val="en-US"/>
        </w:rPr>
        <w:t> mA/cm</w:t>
      </w:r>
      <w:r w:rsidR="00510D5D" w:rsidRPr="00CE15A6">
        <w:rPr>
          <w:vertAlign w:val="superscript"/>
          <w:lang w:val="en-US"/>
        </w:rPr>
        <w:t>2</w:t>
      </w:r>
      <w:r w:rsidR="00510D5D" w:rsidRPr="00CE15A6">
        <w:rPr>
          <w:lang w:val="en-US"/>
        </w:rPr>
        <w:t xml:space="preserve">) and the impedance was measured </w:t>
      </w:r>
      <w:r w:rsidR="00C25253">
        <w:rPr>
          <w:lang w:val="en-US"/>
        </w:rPr>
        <w:t>after 10, 40 and 100 h</w:t>
      </w:r>
      <w:r w:rsidR="00510D5D" w:rsidRPr="00CE15A6">
        <w:rPr>
          <w:lang w:val="en-US"/>
        </w:rPr>
        <w:t>. The data of the measured Nyquist plots were evaluated and fitted with the EC-Lab Software by Bio-Lab, using an equivalent circuit selection of R</w:t>
      </w:r>
      <w:r w:rsidR="00510D5D" w:rsidRPr="00CE15A6">
        <w:rPr>
          <w:vertAlign w:val="subscript"/>
          <w:lang w:val="en-US"/>
        </w:rPr>
        <w:t>1</w:t>
      </w:r>
      <w:r w:rsidR="00510D5D" w:rsidRPr="00CE15A6">
        <w:rPr>
          <w:lang w:val="en-US"/>
        </w:rPr>
        <w:t>+R</w:t>
      </w:r>
      <w:r w:rsidR="00510D5D" w:rsidRPr="00CE15A6">
        <w:rPr>
          <w:vertAlign w:val="subscript"/>
          <w:lang w:val="en-US"/>
        </w:rPr>
        <w:t>2</w:t>
      </w:r>
      <w:r w:rsidR="00510D5D" w:rsidRPr="00CE15A6">
        <w:rPr>
          <w:lang w:val="en-US"/>
        </w:rPr>
        <w:t>/Q</w:t>
      </w:r>
      <w:r w:rsidR="00510D5D" w:rsidRPr="00CE15A6">
        <w:rPr>
          <w:vertAlign w:val="subscript"/>
          <w:lang w:val="en-US"/>
        </w:rPr>
        <w:t>2</w:t>
      </w:r>
      <w:r w:rsidR="00510D5D" w:rsidRPr="00CE15A6">
        <w:rPr>
          <w:lang w:val="en-US"/>
        </w:rPr>
        <w:t>+R</w:t>
      </w:r>
      <w:r w:rsidR="00510D5D" w:rsidRPr="00CE15A6">
        <w:rPr>
          <w:vertAlign w:val="subscript"/>
          <w:lang w:val="en-US"/>
        </w:rPr>
        <w:t>3</w:t>
      </w:r>
      <w:r w:rsidR="00510D5D" w:rsidRPr="00CE15A6">
        <w:rPr>
          <w:lang w:val="en-US"/>
        </w:rPr>
        <w:t>/Q</w:t>
      </w:r>
      <w:r w:rsidR="00510D5D" w:rsidRPr="00CE15A6">
        <w:rPr>
          <w:vertAlign w:val="subscript"/>
          <w:lang w:val="en-US"/>
        </w:rPr>
        <w:t>3</w:t>
      </w:r>
      <w:r w:rsidR="00510D5D" w:rsidRPr="00CE15A6">
        <w:rPr>
          <w:lang w:val="en-US"/>
        </w:rPr>
        <w:t>.</w:t>
      </w:r>
    </w:p>
    <w:p w14:paraId="7BCC2EC0" w14:textId="76E7AE6D" w:rsidR="00510D5D" w:rsidRPr="001E4DE1" w:rsidRDefault="002222D9" w:rsidP="009F2841">
      <w:pPr>
        <w:pStyle w:val="MT2"/>
      </w:pPr>
      <w:r w:rsidRPr="001E4DE1">
        <w:t>X</w:t>
      </w:r>
      <w:r w:rsidR="00495F52" w:rsidRPr="001E4DE1">
        <w:t>-Ray photoelectron spectroscopy</w:t>
      </w:r>
      <w:r w:rsidR="00510D5D" w:rsidRPr="001E4DE1">
        <w:t xml:space="preserve"> </w:t>
      </w:r>
    </w:p>
    <w:p w14:paraId="79B064FF" w14:textId="397FC846" w:rsidR="002222D9" w:rsidRDefault="00BC6944" w:rsidP="002222D9">
      <w:pPr>
        <w:pStyle w:val="Beschriftung"/>
        <w:rPr>
          <w:lang w:val="en-US"/>
        </w:rPr>
      </w:pPr>
      <w:r w:rsidRPr="00CE15A6">
        <w:rPr>
          <w:lang w:val="en-US"/>
        </w:rPr>
        <w:t xml:space="preserve">X-Ray </w:t>
      </w:r>
      <w:r w:rsidR="006E1561" w:rsidRPr="00CE15A6">
        <w:rPr>
          <w:lang w:val="en-US"/>
        </w:rPr>
        <w:t>p</w:t>
      </w:r>
      <w:r w:rsidRPr="00CE15A6">
        <w:rPr>
          <w:lang w:val="en-US"/>
        </w:rPr>
        <w:t xml:space="preserve">hotoelectron </w:t>
      </w:r>
      <w:r w:rsidR="006E1561" w:rsidRPr="00CE15A6">
        <w:rPr>
          <w:lang w:val="en-US"/>
        </w:rPr>
        <w:t>s</w:t>
      </w:r>
      <w:r w:rsidRPr="00CE15A6">
        <w:rPr>
          <w:lang w:val="en-US"/>
        </w:rPr>
        <w:t>pectroscopy (</w:t>
      </w:r>
      <w:r w:rsidR="00510D5D" w:rsidRPr="00CE15A6">
        <w:rPr>
          <w:lang w:val="en-US"/>
        </w:rPr>
        <w:t>XPS</w:t>
      </w:r>
      <w:r w:rsidRPr="00CE15A6">
        <w:rPr>
          <w:lang w:val="en-US"/>
        </w:rPr>
        <w:t>)</w:t>
      </w:r>
      <w:r w:rsidR="00510D5D" w:rsidRPr="00CE15A6">
        <w:rPr>
          <w:lang w:val="en-US"/>
        </w:rPr>
        <w:t xml:space="preserve"> measurements were carried out at a 0° angle of emission and a pass energy of 20 eV using a monochromatic Al Kα source (</w:t>
      </w:r>
      <w:proofErr w:type="spellStart"/>
      <w:r w:rsidR="00510D5D" w:rsidRPr="00CE15A6">
        <w:rPr>
          <w:lang w:val="en-US"/>
        </w:rPr>
        <w:t>Ephoton</w:t>
      </w:r>
      <w:proofErr w:type="spellEnd"/>
      <w:r w:rsidR="00510D5D" w:rsidRPr="00CE15A6">
        <w:rPr>
          <w:lang w:val="en-US"/>
        </w:rPr>
        <w:t xml:space="preserve"> = 1486.6 eV) with a 10 mA filament current and a filament voltage source of 12 kV. The analyzed area was </w:t>
      </w:r>
      <w:r w:rsidR="006E1561" w:rsidRPr="00CE15A6">
        <w:rPr>
          <w:lang w:val="en-US"/>
        </w:rPr>
        <w:t xml:space="preserve">approximately </w:t>
      </w:r>
      <w:r w:rsidR="00510D5D" w:rsidRPr="00CE15A6">
        <w:rPr>
          <w:lang w:val="en-US"/>
        </w:rPr>
        <w:t xml:space="preserve">300 µm × 700 µm. </w:t>
      </w:r>
      <w:r w:rsidR="00A217C6">
        <w:rPr>
          <w:lang w:val="en-US"/>
        </w:rPr>
        <w:t xml:space="preserve">A </w:t>
      </w:r>
      <w:r w:rsidR="00A217C6" w:rsidRPr="00CE15A6">
        <w:rPr>
          <w:lang w:val="en-US"/>
        </w:rPr>
        <w:t xml:space="preserve">charge neutralizer was used </w:t>
      </w:r>
      <w:r w:rsidR="00A217C6">
        <w:rPr>
          <w:lang w:val="en-US"/>
        </w:rPr>
        <w:t>i</w:t>
      </w:r>
      <w:r w:rsidR="00510D5D" w:rsidRPr="00CE15A6">
        <w:rPr>
          <w:lang w:val="en-US"/>
        </w:rPr>
        <w:t xml:space="preserve">n order to compensate for the charging of the sample. The </w:t>
      </w:r>
      <w:r w:rsidR="00A05F59">
        <w:rPr>
          <w:lang w:val="en-US"/>
        </w:rPr>
        <w:t>F</w:t>
      </w:r>
      <w:r w:rsidR="00510D5D" w:rsidRPr="00CE15A6">
        <w:rPr>
          <w:lang w:val="en-US"/>
        </w:rPr>
        <w:t xml:space="preserve"> 1s peak at </w:t>
      </w:r>
      <w:r w:rsidR="00A05F59">
        <w:rPr>
          <w:lang w:val="en-US"/>
        </w:rPr>
        <w:t>684.8</w:t>
      </w:r>
      <w:r w:rsidR="00510D5D" w:rsidRPr="00CE15A6">
        <w:rPr>
          <w:lang w:val="en-US"/>
        </w:rPr>
        <w:t> eV</w:t>
      </w:r>
      <w:r w:rsidR="00A05F59">
        <w:rPr>
          <w:lang w:val="en-US"/>
        </w:rPr>
        <w:t xml:space="preserve"> (LiF)</w:t>
      </w:r>
      <w:r w:rsidR="00510D5D" w:rsidRPr="00CE15A6">
        <w:rPr>
          <w:lang w:val="en-US"/>
        </w:rPr>
        <w:t xml:space="preserve"> was taken as an internal reference for the adjustment of the energy scale in the spectra. </w:t>
      </w:r>
      <w:r w:rsidR="005C1B6E" w:rsidRPr="00CE15A6">
        <w:rPr>
          <w:lang w:val="en-US"/>
        </w:rPr>
        <w:t>T</w:t>
      </w:r>
      <w:r w:rsidR="00510D5D" w:rsidRPr="00CE15A6">
        <w:rPr>
          <w:lang w:val="en-US"/>
        </w:rPr>
        <w:t>o avoid any contact with oxygen and/or moisture</w:t>
      </w:r>
      <w:r w:rsidR="004A3FAA" w:rsidRPr="00CE15A6">
        <w:rPr>
          <w:lang w:val="en-US"/>
        </w:rPr>
        <w:t>, considered XPS samples were sealed in vials for transfer to the measurement device after preparation</w:t>
      </w:r>
      <w:r w:rsidR="00510D5D" w:rsidRPr="00CE15A6">
        <w:rPr>
          <w:lang w:val="en-US"/>
        </w:rPr>
        <w:t>. The sealed vials were stored and opened in a mini glovebox connected to the XPS device shortly before measurement. CasaXPS software was used for fit</w:t>
      </w:r>
      <w:r w:rsidR="007A3DC2" w:rsidRPr="00CE15A6">
        <w:rPr>
          <w:lang w:val="en-US"/>
        </w:rPr>
        <w:t>ting the measured spectra and Peaks assigned in accordance with known literature values.</w:t>
      </w:r>
      <w:r w:rsidR="00146C90" w:rsidRPr="00146C90">
        <w:rPr>
          <w:noProof/>
          <w:lang w:val="en-US"/>
        </w:rPr>
        <w:t>[37,47]</w:t>
      </w:r>
    </w:p>
    <w:p w14:paraId="6ECB3E01" w14:textId="2BC68386" w:rsidR="00510D5D" w:rsidRPr="001E4DE1" w:rsidRDefault="005C1B6E" w:rsidP="009F2841">
      <w:pPr>
        <w:pStyle w:val="MT2"/>
      </w:pPr>
      <w:r w:rsidRPr="001E4DE1">
        <w:lastRenderedPageBreak/>
        <w:t>(Cryo) s</w:t>
      </w:r>
      <w:r w:rsidR="00510D5D" w:rsidRPr="001E4DE1">
        <w:t xml:space="preserve">canning </w:t>
      </w:r>
      <w:r w:rsidRPr="001E4DE1">
        <w:t>electron m</w:t>
      </w:r>
      <w:r w:rsidR="00510D5D" w:rsidRPr="001E4DE1">
        <w:t>icroscopy and energy dispersive X-ray spectroscopy</w:t>
      </w:r>
    </w:p>
    <w:p w14:paraId="0616A3CE" w14:textId="2C1100B5" w:rsidR="00761E47" w:rsidRPr="00CE15A6" w:rsidRDefault="006E1561" w:rsidP="002222D9">
      <w:pPr>
        <w:pStyle w:val="Beschriftung"/>
        <w:rPr>
          <w:lang w:val="en-US"/>
        </w:rPr>
      </w:pPr>
      <w:r w:rsidRPr="00CE15A6">
        <w:rPr>
          <w:lang w:val="en-US"/>
        </w:rPr>
        <w:t>Scanning electron microscopy (</w:t>
      </w:r>
      <w:r w:rsidR="00510D5D" w:rsidRPr="00CE15A6">
        <w:rPr>
          <w:lang w:val="en-US"/>
        </w:rPr>
        <w:t>SEM</w:t>
      </w:r>
      <w:r w:rsidR="005C1B6E" w:rsidRPr="00CE15A6">
        <w:rPr>
          <w:lang w:val="en-US"/>
        </w:rPr>
        <w:t>)</w:t>
      </w:r>
      <w:r w:rsidR="00510D5D" w:rsidRPr="00CE15A6">
        <w:rPr>
          <w:lang w:val="en-US"/>
        </w:rPr>
        <w:t xml:space="preserve"> and </w:t>
      </w:r>
      <w:r w:rsidRPr="00CE15A6">
        <w:rPr>
          <w:lang w:val="en-US"/>
        </w:rPr>
        <w:t>energy dispersive X-ray spectroscopy</w:t>
      </w:r>
      <w:r w:rsidRPr="00CE15A6">
        <w:rPr>
          <w:u w:val="single"/>
          <w:lang w:val="en-US"/>
        </w:rPr>
        <w:t xml:space="preserve"> </w:t>
      </w:r>
      <w:r w:rsidRPr="00CE15A6">
        <w:rPr>
          <w:lang w:val="en-US"/>
        </w:rPr>
        <w:t>(</w:t>
      </w:r>
      <w:r w:rsidR="00510D5D" w:rsidRPr="00CE15A6">
        <w:rPr>
          <w:lang w:val="en-US"/>
        </w:rPr>
        <w:t>EDX</w:t>
      </w:r>
      <w:r w:rsidR="005C1B6E" w:rsidRPr="00CE15A6">
        <w:rPr>
          <w:lang w:val="en-US"/>
        </w:rPr>
        <w:t>)</w:t>
      </w:r>
      <w:r w:rsidR="00510D5D" w:rsidRPr="00CE15A6">
        <w:rPr>
          <w:lang w:val="en-US"/>
        </w:rPr>
        <w:t xml:space="preserve"> </w:t>
      </w:r>
      <w:r w:rsidR="00B03D10">
        <w:rPr>
          <w:lang w:val="en-US"/>
        </w:rPr>
        <w:t xml:space="preserve">measurements </w:t>
      </w:r>
      <w:r w:rsidR="00510D5D" w:rsidRPr="00CE15A6">
        <w:rPr>
          <w:lang w:val="en-US"/>
        </w:rPr>
        <w:t xml:space="preserve">were </w:t>
      </w:r>
      <w:r w:rsidR="008F16CC" w:rsidRPr="00CE15A6">
        <w:rPr>
          <w:lang w:val="en-US"/>
        </w:rPr>
        <w:t xml:space="preserve">conducted </w:t>
      </w:r>
      <w:r w:rsidR="00510D5D" w:rsidRPr="00CE15A6">
        <w:rPr>
          <w:lang w:val="en-US"/>
        </w:rPr>
        <w:t xml:space="preserve">in a Carl Zeiss Auriga Modular Crossbeam workstation utilizing a Schottky field emission gun with a Gemini column as an electron source. Images were taken at 3 kV (SEM) and 4 kV (EDX) accelerating voltage using an in lens secondary electron detector. The lens’ aperture was 20 µm and the working distance 3.0 mm (SEM) and 4.0 mm (EDX). </w:t>
      </w:r>
    </w:p>
    <w:p w14:paraId="2D9F9515" w14:textId="77777777" w:rsidR="002222D9" w:rsidRDefault="005C1B6E" w:rsidP="002222D9">
      <w:pPr>
        <w:pStyle w:val="Beschriftung"/>
        <w:rPr>
          <w:lang w:val="en-US"/>
        </w:rPr>
      </w:pPr>
      <w:r w:rsidRPr="00CE15A6">
        <w:rPr>
          <w:i/>
          <w:lang w:val="en-US"/>
        </w:rPr>
        <w:t>Cryo</w:t>
      </w:r>
      <w:r w:rsidRPr="00CE15A6">
        <w:rPr>
          <w:lang w:val="en-US"/>
        </w:rPr>
        <w:t xml:space="preserve"> focused ion beam (FIB) SEM measurements were performed at a Zeiss Crossbeam 550 (with a Gemini II column) fitted with a Zeiss Ion-sculptor FIB column (Carl Zeiss Microscopy GmbH) and an </w:t>
      </w:r>
      <w:r w:rsidRPr="00CE15A6">
        <w:rPr>
          <w:color w:val="000000"/>
          <w:lang w:val="en-US"/>
        </w:rPr>
        <w:t xml:space="preserve">Oxford </w:t>
      </w:r>
      <w:proofErr w:type="spellStart"/>
      <w:r w:rsidRPr="00CE15A6">
        <w:rPr>
          <w:color w:val="000000"/>
          <w:lang w:val="en-US"/>
        </w:rPr>
        <w:t>Ultim</w:t>
      </w:r>
      <w:proofErr w:type="spellEnd"/>
      <w:r w:rsidRPr="00CE15A6">
        <w:rPr>
          <w:color w:val="000000"/>
          <w:lang w:val="en-US"/>
        </w:rPr>
        <w:t xml:space="preserve"> extreme detector for EDX </w:t>
      </w:r>
      <w:r w:rsidRPr="00CE15A6">
        <w:rPr>
          <w:lang w:val="en-US"/>
        </w:rPr>
        <w:t xml:space="preserve">measurements. The selected electrode samples were prepared </w:t>
      </w:r>
      <w:r w:rsidR="00AD7D28" w:rsidRPr="00CE15A6">
        <w:rPr>
          <w:lang w:val="en-US"/>
        </w:rPr>
        <w:t xml:space="preserve">in </w:t>
      </w:r>
      <w:r w:rsidRPr="00CE15A6">
        <w:rPr>
          <w:lang w:val="en-US"/>
        </w:rPr>
        <w:t>and transferred</w:t>
      </w:r>
      <w:r w:rsidR="00AD7D28" w:rsidRPr="00CE15A6">
        <w:rPr>
          <w:lang w:val="en-US"/>
        </w:rPr>
        <w:t xml:space="preserve"> to the SEM work station </w:t>
      </w:r>
      <w:r w:rsidRPr="00CE15A6">
        <w:rPr>
          <w:lang w:val="en-US"/>
        </w:rPr>
        <w:t xml:space="preserve">by a sealable </w:t>
      </w:r>
      <w:r w:rsidRPr="00CE15A6">
        <w:rPr>
          <w:i/>
          <w:lang w:val="en-US"/>
        </w:rPr>
        <w:t>cryo</w:t>
      </w:r>
      <w:r w:rsidRPr="00CE15A6">
        <w:rPr>
          <w:lang w:val="en-US"/>
        </w:rPr>
        <w:t>-transfer module</w:t>
      </w:r>
      <w:r w:rsidR="00AD7D28" w:rsidRPr="00CE15A6">
        <w:rPr>
          <w:lang w:val="en-US"/>
        </w:rPr>
        <w:t xml:space="preserve"> by </w:t>
      </w:r>
      <w:proofErr w:type="spellStart"/>
      <w:r w:rsidR="00AD7D28" w:rsidRPr="00CE15A6">
        <w:rPr>
          <w:lang w:val="en-US"/>
        </w:rPr>
        <w:t>Kammrath</w:t>
      </w:r>
      <w:proofErr w:type="spellEnd"/>
      <w:r w:rsidR="00AD7D28" w:rsidRPr="00CE15A6">
        <w:rPr>
          <w:lang w:val="en-US"/>
        </w:rPr>
        <w:t xml:space="preserve"> und Weiss.</w:t>
      </w:r>
    </w:p>
    <w:p w14:paraId="192F32CD" w14:textId="2354E12B" w:rsidR="00CF1542" w:rsidRPr="001E4DE1" w:rsidRDefault="00DC2A7E" w:rsidP="009F2841">
      <w:pPr>
        <w:pStyle w:val="MT2"/>
      </w:pPr>
      <w:r w:rsidRPr="001E4DE1">
        <w:t>R</w:t>
      </w:r>
      <w:r w:rsidR="00B03D10">
        <w:t>aman</w:t>
      </w:r>
      <w:r w:rsidR="00F06BFE" w:rsidRPr="001E4DE1">
        <w:t xml:space="preserve"> spectroscopy</w:t>
      </w:r>
    </w:p>
    <w:p w14:paraId="545B2B3F" w14:textId="7C7010E8" w:rsidR="009F7253" w:rsidRPr="00FC47EB" w:rsidRDefault="00F06BFE" w:rsidP="00AC10DD">
      <w:pPr>
        <w:pStyle w:val="Beschriftung"/>
        <w:rPr>
          <w:lang w:val="en-US"/>
        </w:rPr>
      </w:pPr>
      <w:r w:rsidRPr="00CE15A6">
        <w:rPr>
          <w:lang w:val="en-US"/>
        </w:rPr>
        <w:t xml:space="preserve">Lithium metal samples intended for </w:t>
      </w:r>
      <w:r w:rsidRPr="00CE15A6">
        <w:rPr>
          <w:i/>
          <w:lang w:val="en-US"/>
        </w:rPr>
        <w:t>post mortem</w:t>
      </w:r>
      <w:r w:rsidRPr="00CE15A6">
        <w:rPr>
          <w:lang w:val="en-US"/>
        </w:rPr>
        <w:t xml:space="preserve"> </w:t>
      </w:r>
      <w:r w:rsidR="00DC2A7E" w:rsidRPr="00CE15A6">
        <w:rPr>
          <w:lang w:val="en-US"/>
        </w:rPr>
        <w:t>R</w:t>
      </w:r>
      <w:r w:rsidR="00B03D10">
        <w:rPr>
          <w:lang w:val="en-US"/>
        </w:rPr>
        <w:t>aman</w:t>
      </w:r>
      <w:r w:rsidR="00B938C8" w:rsidRPr="00CE15A6">
        <w:rPr>
          <w:lang w:val="en-US"/>
        </w:rPr>
        <w:t xml:space="preserve"> </w:t>
      </w:r>
      <w:r w:rsidRPr="00CE15A6">
        <w:rPr>
          <w:lang w:val="en-US"/>
        </w:rPr>
        <w:t xml:space="preserve">analysis </w:t>
      </w:r>
      <w:r w:rsidR="00B938C8" w:rsidRPr="00CE15A6">
        <w:rPr>
          <w:lang w:val="en-US"/>
        </w:rPr>
        <w:t xml:space="preserve">were placed in an airtight optical cell (EL-CELL ECC-Opto-Std) with a glass window. The investigations were conducted using a Horiba Scientific confocal </w:t>
      </w:r>
      <w:r w:rsidR="00DC2A7E" w:rsidRPr="00CE15A6">
        <w:rPr>
          <w:lang w:val="en-US"/>
        </w:rPr>
        <w:t>R</w:t>
      </w:r>
      <w:r w:rsidR="00C25253">
        <w:rPr>
          <w:lang w:val="en-US"/>
        </w:rPr>
        <w:t xml:space="preserve">aman </w:t>
      </w:r>
      <w:r w:rsidR="00B938C8" w:rsidRPr="00CE15A6">
        <w:rPr>
          <w:lang w:val="en-US"/>
        </w:rPr>
        <w:t>microscope (</w:t>
      </w:r>
      <w:proofErr w:type="spellStart"/>
      <w:r w:rsidR="00B938C8" w:rsidRPr="00CE15A6">
        <w:rPr>
          <w:lang w:val="en-US"/>
        </w:rPr>
        <w:t>LabRAM</w:t>
      </w:r>
      <w:proofErr w:type="spellEnd"/>
      <w:r w:rsidR="00B938C8" w:rsidRPr="00CE15A6">
        <w:rPr>
          <w:lang w:val="en-US"/>
        </w:rPr>
        <w:t xml:space="preserve"> HR evolution, air-cooled CCD detector). The samples were excited with a green laser with a wavelength of 532 nm and 12.2 </w:t>
      </w:r>
      <w:proofErr w:type="spellStart"/>
      <w:r w:rsidR="00B938C8" w:rsidRPr="00CE15A6">
        <w:rPr>
          <w:lang w:val="en-US"/>
        </w:rPr>
        <w:t>mW</w:t>
      </w:r>
      <w:proofErr w:type="spellEnd"/>
      <w:r w:rsidR="00B938C8" w:rsidRPr="00CE15A6">
        <w:rPr>
          <w:lang w:val="en-US"/>
        </w:rPr>
        <w:t xml:space="preserve"> output power at the sample, adjusted by a 0.1% filter to 0.12 </w:t>
      </w:r>
      <w:proofErr w:type="spellStart"/>
      <w:r w:rsidR="00B938C8" w:rsidRPr="00CE15A6">
        <w:rPr>
          <w:lang w:val="en-US"/>
        </w:rPr>
        <w:t>mW</w:t>
      </w:r>
      <w:proofErr w:type="spellEnd"/>
      <w:r w:rsidR="00B938C8" w:rsidRPr="00CE15A6">
        <w:rPr>
          <w:lang w:val="en-US"/>
        </w:rPr>
        <w:t xml:space="preserve"> with a 600 line/mm grating. The beam was focused using a 50X long-working distance objective (Zeiss, 9.2 mm, numerical aperture 0.5). </w:t>
      </w:r>
      <w:r w:rsidR="00B03D10">
        <w:rPr>
          <w:lang w:val="en-US"/>
        </w:rPr>
        <w:t xml:space="preserve">Recorded </w:t>
      </w:r>
      <w:r w:rsidR="00DC2A7E" w:rsidRPr="00CE15A6">
        <w:rPr>
          <w:lang w:val="en-US"/>
        </w:rPr>
        <w:t>R</w:t>
      </w:r>
      <w:r w:rsidR="00B03D10">
        <w:rPr>
          <w:lang w:val="en-US"/>
        </w:rPr>
        <w:t>aman</w:t>
      </w:r>
      <w:r w:rsidR="00B938C8" w:rsidRPr="00CE15A6">
        <w:rPr>
          <w:lang w:val="en-US"/>
        </w:rPr>
        <w:t xml:space="preserve"> spectra were collected by two integrations of 50 s each. Handling the </w:t>
      </w:r>
      <w:r w:rsidR="00DC2A7E" w:rsidRPr="00CE15A6">
        <w:rPr>
          <w:lang w:val="en-US"/>
        </w:rPr>
        <w:t>R</w:t>
      </w:r>
      <w:r w:rsidR="00B03D10">
        <w:rPr>
          <w:lang w:val="en-US"/>
        </w:rPr>
        <w:t>aman</w:t>
      </w:r>
      <w:r w:rsidR="00B938C8" w:rsidRPr="00CE15A6">
        <w:rPr>
          <w:lang w:val="en-US"/>
        </w:rPr>
        <w:t xml:space="preserve"> microscope, collecting the spectra, and evaluating the data were done using LabSpec6.6.2 (Horiba Scientific). </w:t>
      </w:r>
    </w:p>
    <w:p w14:paraId="6AAFABD2" w14:textId="53E33F7E" w:rsidR="009F7253" w:rsidRPr="00FC47EB" w:rsidRDefault="009F7253" w:rsidP="009F2841">
      <w:pPr>
        <w:pStyle w:val="MT1"/>
      </w:pPr>
      <w:r w:rsidRPr="00FC47EB">
        <w:t>Pre</w:t>
      </w:r>
      <w:r w:rsidR="00EE1AFA" w:rsidRPr="00FC47EB">
        <w:t>-t</w:t>
      </w:r>
      <w:r w:rsidRPr="00FC47EB">
        <w:t xml:space="preserve">reatment </w:t>
      </w:r>
      <w:r w:rsidR="00EE1AFA" w:rsidRPr="00FC47EB">
        <w:t>Procedure</w:t>
      </w:r>
    </w:p>
    <w:p w14:paraId="1A9D587B" w14:textId="04713F3A" w:rsidR="009F7253" w:rsidRPr="00CE15A6" w:rsidRDefault="00AC10DD" w:rsidP="00AC10DD">
      <w:pPr>
        <w:pStyle w:val="Beschriftung"/>
        <w:rPr>
          <w:lang w:val="en-US"/>
        </w:rPr>
      </w:pPr>
      <w:r w:rsidRPr="00FC47EB">
        <w:rPr>
          <w:lang w:val="en-US"/>
        </w:rPr>
        <w:t>Commercially available</w:t>
      </w:r>
      <w:r w:rsidR="009F7253" w:rsidRPr="00FC47EB">
        <w:rPr>
          <w:lang w:val="en-US"/>
        </w:rPr>
        <w:t xml:space="preserve"> </w:t>
      </w:r>
      <w:r w:rsidRPr="00FC47EB">
        <w:rPr>
          <w:lang w:val="en-US"/>
        </w:rPr>
        <w:t>pLi</w:t>
      </w:r>
      <w:r w:rsidR="009F7253" w:rsidRPr="00FC47EB">
        <w:rPr>
          <w:lang w:val="en-US"/>
        </w:rPr>
        <w:t xml:space="preserve"> </w:t>
      </w:r>
      <w:r w:rsidR="00AA3C51" w:rsidRPr="00FC47EB">
        <w:rPr>
          <w:lang w:val="en-US"/>
        </w:rPr>
        <w:t xml:space="preserve">foil </w:t>
      </w:r>
      <w:r w:rsidRPr="00FC47EB">
        <w:rPr>
          <w:lang w:val="en-US"/>
        </w:rPr>
        <w:t>(</w:t>
      </w:r>
      <w:r w:rsidR="009F7253" w:rsidRPr="00FC47EB">
        <w:rPr>
          <w:lang w:val="en-US"/>
        </w:rPr>
        <w:t xml:space="preserve">450 µm thick), is </w:t>
      </w:r>
      <w:r w:rsidR="00C02A84" w:rsidRPr="00FC47EB">
        <w:rPr>
          <w:lang w:val="en-US"/>
        </w:rPr>
        <w:t xml:space="preserve">inevitably </w:t>
      </w:r>
      <w:r w:rsidR="009F7253" w:rsidRPr="00FC47EB">
        <w:rPr>
          <w:lang w:val="en-US"/>
        </w:rPr>
        <w:t xml:space="preserve">covered by a </w:t>
      </w:r>
      <w:r w:rsidR="003F3C0F" w:rsidRPr="00FC47EB">
        <w:rPr>
          <w:lang w:val="en-US"/>
        </w:rPr>
        <w:t>NPL</w:t>
      </w:r>
      <w:r w:rsidR="009F7253" w:rsidRPr="00FC47EB">
        <w:rPr>
          <w:lang w:val="en-US"/>
        </w:rPr>
        <w:t xml:space="preserve">. The chemical composition of said layer </w:t>
      </w:r>
      <w:r w:rsidR="00636FEE" w:rsidRPr="00FC47EB">
        <w:rPr>
          <w:lang w:val="en-US"/>
        </w:rPr>
        <w:t>can differ drastically</w:t>
      </w:r>
      <w:r w:rsidR="009F7253" w:rsidRPr="00FC47EB">
        <w:rPr>
          <w:lang w:val="en-US"/>
        </w:rPr>
        <w:t xml:space="preserve"> </w:t>
      </w:r>
      <w:r w:rsidR="00636FEE" w:rsidRPr="00FC47EB">
        <w:rPr>
          <w:lang w:val="en-US"/>
        </w:rPr>
        <w:t>because it</w:t>
      </w:r>
      <w:r w:rsidR="009F7253" w:rsidRPr="00FC47EB">
        <w:rPr>
          <w:lang w:val="en-US"/>
        </w:rPr>
        <w:t xml:space="preserve"> depends on the reaction partners </w:t>
      </w:r>
      <w:r w:rsidR="00AA3C51" w:rsidRPr="00FC47EB">
        <w:rPr>
          <w:lang w:val="en-US"/>
        </w:rPr>
        <w:t xml:space="preserve">in the atmosphere </w:t>
      </w:r>
      <w:r w:rsidR="009F7253" w:rsidRPr="00FC47EB">
        <w:rPr>
          <w:lang w:val="en-US"/>
        </w:rPr>
        <w:t xml:space="preserve">the lithium foil is exposed </w:t>
      </w:r>
      <w:r w:rsidR="00AA3C51" w:rsidRPr="00FC47EB">
        <w:rPr>
          <w:lang w:val="en-US"/>
        </w:rPr>
        <w:t>to during manufacturing and</w:t>
      </w:r>
      <w:r w:rsidR="00636FEE" w:rsidRPr="00FC47EB">
        <w:rPr>
          <w:lang w:val="en-US"/>
        </w:rPr>
        <w:t xml:space="preserve"> storage</w:t>
      </w:r>
      <w:r w:rsidR="00636FEE">
        <w:rPr>
          <w:lang w:val="en-US"/>
        </w:rPr>
        <w:t>.</w:t>
      </w:r>
      <w:r w:rsidR="002F1A79" w:rsidRPr="002F1A79">
        <w:rPr>
          <w:noProof/>
          <w:lang w:val="en-US"/>
        </w:rPr>
        <w:t>[35,36]</w:t>
      </w:r>
      <w:r w:rsidRPr="00AC10DD">
        <w:rPr>
          <w:lang w:val="en-US"/>
        </w:rPr>
        <w:t xml:space="preserve"> </w:t>
      </w:r>
      <w:r w:rsidR="009F7253" w:rsidRPr="00CE15A6">
        <w:rPr>
          <w:lang w:val="en-US"/>
        </w:rPr>
        <w:t>Removing such a passivation layer, e.g. by scrapping off with a blade, is not easy to accomplish since freshly surfaced lithium immediately react</w:t>
      </w:r>
      <w:r w:rsidR="00C25253">
        <w:rPr>
          <w:lang w:val="en-US"/>
        </w:rPr>
        <w:t>s</w:t>
      </w:r>
      <w:r w:rsidR="009F7253" w:rsidRPr="00CE15A6">
        <w:rPr>
          <w:lang w:val="en-US"/>
        </w:rPr>
        <w:t xml:space="preserve"> with the next possible reaction partner. Consequently, the reaction partner of freshly surfaced lithium needs to be controlled</w:t>
      </w:r>
      <w:r w:rsidR="00636FEE">
        <w:rPr>
          <w:lang w:val="en-US"/>
        </w:rPr>
        <w:t xml:space="preserve"> carefully</w:t>
      </w:r>
      <w:r w:rsidR="009F7253" w:rsidRPr="00CE15A6">
        <w:rPr>
          <w:lang w:val="en-US"/>
        </w:rPr>
        <w:t xml:space="preserve">, </w:t>
      </w:r>
      <w:r w:rsidR="00F06BFE" w:rsidRPr="00CE15A6">
        <w:rPr>
          <w:lang w:val="en-US"/>
        </w:rPr>
        <w:t>first</w:t>
      </w:r>
      <w:r w:rsidR="0093344E" w:rsidRPr="00CE15A6">
        <w:rPr>
          <w:lang w:val="en-US"/>
        </w:rPr>
        <w:t xml:space="preserve"> demonstrated </w:t>
      </w:r>
      <w:r w:rsidR="009F7253" w:rsidRPr="00CE15A6">
        <w:rPr>
          <w:lang w:val="en-US"/>
        </w:rPr>
        <w:t xml:space="preserve">by </w:t>
      </w:r>
      <w:r w:rsidR="009F7253" w:rsidRPr="00CE15A6">
        <w:rPr>
          <w:noProof/>
          <w:lang w:val="en-US"/>
        </w:rPr>
        <w:t>Odziemkowski</w:t>
      </w:r>
      <w:r w:rsidR="009F7253" w:rsidRPr="00CE15A6">
        <w:rPr>
          <w:i/>
          <w:lang w:val="en-US"/>
        </w:rPr>
        <w:t xml:space="preserve"> et al.</w:t>
      </w:r>
      <w:r w:rsidR="009F7253" w:rsidRPr="00CE15A6">
        <w:rPr>
          <w:lang w:val="en-US"/>
        </w:rPr>
        <w:t xml:space="preserve"> in 1992 and 1993,</w:t>
      </w:r>
      <w:r w:rsidR="008335A1" w:rsidRPr="008335A1">
        <w:rPr>
          <w:noProof/>
          <w:lang w:val="en-US"/>
        </w:rPr>
        <w:t>[41–43]</w:t>
      </w:r>
      <w:r w:rsidR="009F7253" w:rsidRPr="00CE15A6">
        <w:rPr>
          <w:lang w:val="en-US"/>
        </w:rPr>
        <w:t xml:space="preserve"> who cut lithium in solution within a self-buil</w:t>
      </w:r>
      <w:r w:rsidR="00AA3C51">
        <w:rPr>
          <w:lang w:val="en-US"/>
        </w:rPr>
        <w:t>t</w:t>
      </w:r>
      <w:r w:rsidR="009F7253" w:rsidRPr="00CE15A6">
        <w:rPr>
          <w:lang w:val="en-US"/>
        </w:rPr>
        <w:t xml:space="preserve"> gadget to perform </w:t>
      </w:r>
      <w:r w:rsidR="009F7253" w:rsidRPr="00CE15A6">
        <w:rPr>
          <w:i/>
          <w:lang w:val="en-US"/>
        </w:rPr>
        <w:t>in situ</w:t>
      </w:r>
      <w:r w:rsidR="009F7253" w:rsidRPr="00CE15A6">
        <w:rPr>
          <w:lang w:val="en-US"/>
        </w:rPr>
        <w:t xml:space="preserve"> electrochemical studies, however without the inten</w:t>
      </w:r>
      <w:r w:rsidR="00AA3C51">
        <w:rPr>
          <w:lang w:val="en-US"/>
        </w:rPr>
        <w:t>t</w:t>
      </w:r>
      <w:r w:rsidR="009F7253" w:rsidRPr="00CE15A6">
        <w:rPr>
          <w:lang w:val="en-US"/>
        </w:rPr>
        <w:t xml:space="preserve"> of cell assembly. Ding </w:t>
      </w:r>
      <w:r w:rsidR="009F7253" w:rsidRPr="00CE15A6">
        <w:rPr>
          <w:i/>
          <w:lang w:val="en-US"/>
        </w:rPr>
        <w:t>et al.</w:t>
      </w:r>
      <w:r w:rsidR="009F7253" w:rsidRPr="00CE15A6">
        <w:rPr>
          <w:lang w:val="en-US"/>
        </w:rPr>
        <w:t xml:space="preserve"> und Thanner </w:t>
      </w:r>
      <w:r w:rsidR="009F7253" w:rsidRPr="00CE15A6">
        <w:rPr>
          <w:i/>
          <w:lang w:val="en-US"/>
        </w:rPr>
        <w:t>et al.</w:t>
      </w:r>
      <w:r w:rsidR="009F7253" w:rsidRPr="00CE15A6">
        <w:rPr>
          <w:lang w:val="en-US"/>
        </w:rPr>
        <w:t xml:space="preserve"> used </w:t>
      </w:r>
      <w:r w:rsidR="00AA3C51">
        <w:rPr>
          <w:lang w:val="en-US"/>
        </w:rPr>
        <w:t>a different</w:t>
      </w:r>
      <w:r w:rsidR="009F7253" w:rsidRPr="00CE15A6">
        <w:rPr>
          <w:lang w:val="en-US"/>
        </w:rPr>
        <w:t xml:space="preserve"> in</w:t>
      </w:r>
      <w:r w:rsidR="00AA3C51">
        <w:rPr>
          <w:lang w:val="en-US"/>
        </w:rPr>
        <w:t>-</w:t>
      </w:r>
      <w:r w:rsidR="009F7253" w:rsidRPr="00CE15A6">
        <w:rPr>
          <w:lang w:val="en-US"/>
        </w:rPr>
        <w:t>house buil</w:t>
      </w:r>
      <w:r w:rsidR="009B6622">
        <w:rPr>
          <w:lang w:val="en-US"/>
        </w:rPr>
        <w:t>t</w:t>
      </w:r>
      <w:r w:rsidR="009F7253" w:rsidRPr="00CE15A6">
        <w:rPr>
          <w:lang w:val="en-US"/>
        </w:rPr>
        <w:t xml:space="preserve"> device to cut a 13 mm diameter lithium metal rod in </w:t>
      </w:r>
      <w:r w:rsidR="00C25253">
        <w:rPr>
          <w:lang w:val="en-US"/>
        </w:rPr>
        <w:t xml:space="preserve">an amine </w:t>
      </w:r>
      <w:r w:rsidR="009F7253" w:rsidRPr="00CE15A6">
        <w:rPr>
          <w:lang w:val="en-US"/>
        </w:rPr>
        <w:t xml:space="preserve">solution </w:t>
      </w:r>
      <w:r w:rsidR="00D54EAD">
        <w:rPr>
          <w:lang w:val="en-US"/>
        </w:rPr>
        <w:t xml:space="preserve">and </w:t>
      </w:r>
      <w:r>
        <w:rPr>
          <w:lang w:val="en-US"/>
        </w:rPr>
        <w:t>form</w:t>
      </w:r>
      <w:r w:rsidR="009F7253" w:rsidRPr="00CE15A6">
        <w:rPr>
          <w:lang w:val="en-US"/>
        </w:rPr>
        <w:t xml:space="preserve"> an artificial SEI on a ~2</w:t>
      </w:r>
      <w:r>
        <w:rPr>
          <w:lang w:val="en-US"/>
        </w:rPr>
        <w:t>.3</w:t>
      </w:r>
      <w:r w:rsidR="009F7253" w:rsidRPr="00CE15A6">
        <w:rPr>
          <w:lang w:val="en-US"/>
        </w:rPr>
        <w:t> mm lithium slice</w:t>
      </w:r>
      <w:r w:rsidR="00F06BFE" w:rsidRPr="00CE15A6">
        <w:rPr>
          <w:lang w:val="en-US"/>
        </w:rPr>
        <w:t>,</w:t>
      </w:r>
      <w:r w:rsidR="009F7253" w:rsidRPr="00CE15A6">
        <w:rPr>
          <w:lang w:val="en-US"/>
        </w:rPr>
        <w:t xml:space="preserve"> later used as </w:t>
      </w:r>
      <w:r w:rsidR="00F06BFE" w:rsidRPr="00CE15A6">
        <w:rPr>
          <w:lang w:val="en-US"/>
        </w:rPr>
        <w:t xml:space="preserve">an </w:t>
      </w:r>
      <w:r w:rsidR="009F7253" w:rsidRPr="00CE15A6">
        <w:rPr>
          <w:lang w:val="en-US"/>
        </w:rPr>
        <w:t>electrode in an El-Cell</w:t>
      </w:r>
      <w:r w:rsidR="00AA3C51">
        <w:rPr>
          <w:lang w:val="en-US"/>
        </w:rPr>
        <w:t>™</w:t>
      </w:r>
      <w:r w:rsidR="009F7253" w:rsidRPr="00CE15A6">
        <w:rPr>
          <w:lang w:val="en-US"/>
        </w:rPr>
        <w:t xml:space="preserve"> setup.</w:t>
      </w:r>
      <w:r w:rsidR="008335A1" w:rsidRPr="008335A1">
        <w:rPr>
          <w:noProof/>
          <w:lang w:val="en-US"/>
        </w:rPr>
        <w:t>[40,44]</w:t>
      </w:r>
      <w:r w:rsidR="009F7253" w:rsidRPr="00CE15A6">
        <w:rPr>
          <w:lang w:val="en-US"/>
        </w:rPr>
        <w:t xml:space="preserve"> </w:t>
      </w:r>
    </w:p>
    <w:p w14:paraId="2158166A" w14:textId="350623C7" w:rsidR="009F7253" w:rsidRPr="00CE15A6" w:rsidRDefault="005435AA" w:rsidP="00AC10DD">
      <w:pPr>
        <w:pStyle w:val="Beschriftung"/>
        <w:rPr>
          <w:lang w:val="en-US"/>
        </w:rPr>
      </w:pPr>
      <w:r>
        <w:rPr>
          <w:lang w:val="en-US"/>
        </w:rPr>
        <w:t xml:space="preserve">Cutting a </w:t>
      </w:r>
      <w:r w:rsidR="0072610C">
        <w:rPr>
          <w:lang w:val="en-US"/>
        </w:rPr>
        <w:t>l</w:t>
      </w:r>
      <w:r>
        <w:rPr>
          <w:lang w:val="en-US"/>
        </w:rPr>
        <w:t xml:space="preserve">ithium rod in an electrolyte will form a slice of lithium metal </w:t>
      </w:r>
      <w:r w:rsidR="00807574">
        <w:rPr>
          <w:lang w:val="en-US"/>
        </w:rPr>
        <w:t xml:space="preserve">of varying thickness and oval shape (min. 1 mm tick) </w:t>
      </w:r>
      <w:r>
        <w:rPr>
          <w:lang w:val="en-US"/>
        </w:rPr>
        <w:t>covered by an as-defined pSEI. Therefore</w:t>
      </w:r>
      <w:r w:rsidR="00AA3C51">
        <w:rPr>
          <w:lang w:val="en-US"/>
        </w:rPr>
        <w:t>,</w:t>
      </w:r>
      <w:r>
        <w:rPr>
          <w:lang w:val="en-US"/>
        </w:rPr>
        <w:t xml:space="preserve"> </w:t>
      </w:r>
      <w:r w:rsidR="00AA3C51">
        <w:rPr>
          <w:lang w:val="en-US"/>
        </w:rPr>
        <w:t xml:space="preserve">in this work </w:t>
      </w:r>
      <w:r>
        <w:rPr>
          <w:lang w:val="en-US"/>
        </w:rPr>
        <w:t>different design optimizations</w:t>
      </w:r>
      <w:r w:rsidR="00232651">
        <w:rPr>
          <w:lang w:val="en-US"/>
        </w:rPr>
        <w:t xml:space="preserve"> were implemented and a second step was added to the pre</w:t>
      </w:r>
      <w:r w:rsidR="00EE1AFA">
        <w:rPr>
          <w:lang w:val="en-US"/>
        </w:rPr>
        <w:t>-</w:t>
      </w:r>
      <w:r w:rsidR="00232651">
        <w:rPr>
          <w:lang w:val="en-US"/>
        </w:rPr>
        <w:t xml:space="preserve">treatment </w:t>
      </w:r>
      <w:r w:rsidR="00AA3C51">
        <w:rPr>
          <w:lang w:val="en-US"/>
        </w:rPr>
        <w:t xml:space="preserve">procedure </w:t>
      </w:r>
      <w:r>
        <w:rPr>
          <w:lang w:val="en-US"/>
        </w:rPr>
        <w:t xml:space="preserve">to enhance shape </w:t>
      </w:r>
      <w:r w:rsidR="00F06BFE" w:rsidRPr="00CE15A6">
        <w:rPr>
          <w:lang w:val="en-US"/>
        </w:rPr>
        <w:t xml:space="preserve">reproducibility and </w:t>
      </w:r>
      <w:r>
        <w:rPr>
          <w:lang w:val="en-US"/>
        </w:rPr>
        <w:t>reduce the electrode thickness,</w:t>
      </w:r>
      <w:r w:rsidR="00F06BFE" w:rsidRPr="00CE15A6">
        <w:rPr>
          <w:lang w:val="en-US"/>
        </w:rPr>
        <w:t xml:space="preserve"> granting access to a </w:t>
      </w:r>
      <w:r w:rsidR="00AC10DD">
        <w:rPr>
          <w:lang w:val="en-US"/>
        </w:rPr>
        <w:t>c</w:t>
      </w:r>
      <w:r w:rsidR="00F06BFE" w:rsidRPr="00CE15A6">
        <w:rPr>
          <w:lang w:val="en-US"/>
        </w:rPr>
        <w:t>oin cell 2032 setup</w:t>
      </w:r>
      <w:r w:rsidR="00232651" w:rsidRPr="00232651">
        <w:rPr>
          <w:lang w:val="en-US"/>
        </w:rPr>
        <w:t xml:space="preserve"> as well as </w:t>
      </w:r>
      <w:r w:rsidR="00232651">
        <w:rPr>
          <w:lang w:val="en-US"/>
        </w:rPr>
        <w:t>being a blueprint for future NPL free pre</w:t>
      </w:r>
      <w:r w:rsidR="00EE1AFA">
        <w:rPr>
          <w:lang w:val="en-US"/>
        </w:rPr>
        <w:t>-</w:t>
      </w:r>
      <w:r w:rsidR="00232651">
        <w:rPr>
          <w:lang w:val="en-US"/>
        </w:rPr>
        <w:t>treatment processes</w:t>
      </w:r>
      <w:r w:rsidR="00AE0F6E" w:rsidRPr="00CE15A6">
        <w:rPr>
          <w:lang w:val="en-US"/>
        </w:rPr>
        <w:t xml:space="preserve">. For the first step of the SEI preformation procedure, </w:t>
      </w:r>
      <w:r w:rsidR="009F7253" w:rsidRPr="00CE15A6">
        <w:rPr>
          <w:lang w:val="en-US"/>
        </w:rPr>
        <w:t xml:space="preserve">a stainless-steel cutting device was </w:t>
      </w:r>
      <w:r w:rsidR="00D54EAD">
        <w:rPr>
          <w:lang w:val="en-US"/>
        </w:rPr>
        <w:t xml:space="preserve">designed and </w:t>
      </w:r>
      <w:r w:rsidR="009F7253" w:rsidRPr="00CE15A6">
        <w:rPr>
          <w:lang w:val="en-US"/>
        </w:rPr>
        <w:t>built in</w:t>
      </w:r>
      <w:r w:rsidR="00807574">
        <w:rPr>
          <w:lang w:val="en-US"/>
        </w:rPr>
        <w:t>-</w:t>
      </w:r>
      <w:r w:rsidR="009F7253" w:rsidRPr="00CE15A6">
        <w:rPr>
          <w:lang w:val="en-US"/>
        </w:rPr>
        <w:t xml:space="preserve">house </w:t>
      </w:r>
      <w:r w:rsidR="009F7253" w:rsidRPr="00AC10DD">
        <w:rPr>
          <w:lang w:val="en-US"/>
        </w:rPr>
        <w:t>(</w:t>
      </w:r>
      <w:r w:rsidR="00AC10DD" w:rsidRPr="00AC10DD">
        <w:rPr>
          <w:lang w:val="en-US"/>
        </w:rPr>
        <w:t xml:space="preserve">Fig. </w:t>
      </w:r>
      <w:r w:rsidR="00AC10DD" w:rsidRPr="00AC10DD">
        <w:rPr>
          <w:noProof/>
          <w:lang w:val="en-US"/>
        </w:rPr>
        <w:t>1</w:t>
      </w:r>
      <w:r w:rsidR="009F7253" w:rsidRPr="00AC10DD">
        <w:rPr>
          <w:lang w:val="en-US"/>
        </w:rPr>
        <w:t xml:space="preserve"> a)</w:t>
      </w:r>
      <w:r w:rsidR="009F7253" w:rsidRPr="00CE15A6">
        <w:rPr>
          <w:lang w:val="en-US"/>
        </w:rPr>
        <w:t xml:space="preserve"> to enable cutting of a lithium rod in solution by the following procedure: First, a lithium rod (Ø ~13 mm) is placed in </w:t>
      </w:r>
      <w:r w:rsidR="00C30674">
        <w:rPr>
          <w:lang w:val="en-US"/>
        </w:rPr>
        <w:t>a</w:t>
      </w:r>
      <w:r w:rsidR="009F7253" w:rsidRPr="00CE15A6">
        <w:rPr>
          <w:lang w:val="en-US"/>
        </w:rPr>
        <w:t xml:space="preserve"> round</w:t>
      </w:r>
      <w:r w:rsidR="00C30674">
        <w:rPr>
          <w:lang w:val="en-US"/>
        </w:rPr>
        <w:t>ed place of</w:t>
      </w:r>
      <w:r w:rsidR="009F7253" w:rsidRPr="00CE15A6">
        <w:rPr>
          <w:lang w:val="en-US"/>
        </w:rPr>
        <w:t xml:space="preserve"> the bottom half of the cutting device (A). A tungsten wire (B, Ø 0.25 mm) is mounted </w:t>
      </w:r>
      <w:r w:rsidR="00C30674">
        <w:rPr>
          <w:lang w:val="en-US"/>
        </w:rPr>
        <w:t>forward and backward to the guillotine</w:t>
      </w:r>
      <w:r w:rsidR="009F7253" w:rsidRPr="00CE15A6">
        <w:rPr>
          <w:lang w:val="en-US"/>
        </w:rPr>
        <w:t xml:space="preserve"> of the cutting device (C), resulting in two cuts ~1.1 mm apart. To ensure consistent cutting, the </w:t>
      </w:r>
      <w:r w:rsidR="00C30674">
        <w:rPr>
          <w:lang w:val="en-US"/>
        </w:rPr>
        <w:t>guillotine</w:t>
      </w:r>
      <w:r w:rsidR="00C30674" w:rsidRPr="00CE15A6">
        <w:rPr>
          <w:lang w:val="en-US"/>
        </w:rPr>
        <w:t xml:space="preserve"> </w:t>
      </w:r>
      <w:r w:rsidR="009F7253" w:rsidRPr="00CE15A6">
        <w:rPr>
          <w:lang w:val="en-US"/>
        </w:rPr>
        <w:t>(C) is guided by two stands connected to the bottom part of the cutting device (A). The set up cutting device is placed in a bowl (D) filled with the desired reaction liquid</w:t>
      </w:r>
      <w:r w:rsidR="00AE0F6E" w:rsidRPr="00CE15A6">
        <w:rPr>
          <w:lang w:val="en-US"/>
        </w:rPr>
        <w:t xml:space="preserve"> (100 mL)</w:t>
      </w:r>
      <w:r w:rsidR="009F7253" w:rsidRPr="00CE15A6">
        <w:rPr>
          <w:lang w:val="en-US"/>
        </w:rPr>
        <w:t>. The top part of the cutting device is pressed downwards and the tungsten wire cuts through the lithium rod. After the completed cut, the reaction of lithium and the liquid is allowed to proceed for 30 s before the cutting device is removed from the bowl and disassembled, yielding ~1.1 mm thick pre</w:t>
      </w:r>
      <w:r w:rsidR="00EE1AFA">
        <w:rPr>
          <w:lang w:val="en-US"/>
        </w:rPr>
        <w:t>-</w:t>
      </w:r>
      <w:r w:rsidR="009F7253" w:rsidRPr="00CE15A6">
        <w:rPr>
          <w:lang w:val="en-US"/>
        </w:rPr>
        <w:t>treated electrodes. The softness of lithium metal prevents the cut of thinner lithium slices and also results in a not ideally flat cutting surface as well as a more oval form of the cut slices. Consequently, a second pre</w:t>
      </w:r>
      <w:r w:rsidR="00EE1AFA">
        <w:rPr>
          <w:lang w:val="en-US"/>
        </w:rPr>
        <w:t>-</w:t>
      </w:r>
      <w:r w:rsidR="009F7253" w:rsidRPr="00CE15A6">
        <w:rPr>
          <w:lang w:val="en-US"/>
        </w:rPr>
        <w:t xml:space="preserve">treatment step is required to reproducibly generate </w:t>
      </w:r>
      <w:r w:rsidR="00733D79" w:rsidRPr="00CE15A6">
        <w:rPr>
          <w:lang w:val="en-US"/>
        </w:rPr>
        <w:t>pre</w:t>
      </w:r>
      <w:r w:rsidR="00EE1AFA">
        <w:rPr>
          <w:lang w:val="en-US"/>
        </w:rPr>
        <w:t>-</w:t>
      </w:r>
      <w:r w:rsidR="00733D79" w:rsidRPr="00CE15A6">
        <w:rPr>
          <w:lang w:val="en-US"/>
        </w:rPr>
        <w:t>t</w:t>
      </w:r>
      <w:r w:rsidR="00AE0F6E" w:rsidRPr="00CE15A6">
        <w:rPr>
          <w:lang w:val="en-US"/>
        </w:rPr>
        <w:t>r</w:t>
      </w:r>
      <w:r w:rsidR="00733D79" w:rsidRPr="00CE15A6">
        <w:rPr>
          <w:lang w:val="en-US"/>
        </w:rPr>
        <w:t>eated</w:t>
      </w:r>
      <w:r w:rsidR="009F7253" w:rsidRPr="00CE15A6">
        <w:rPr>
          <w:lang w:val="en-US"/>
        </w:rPr>
        <w:t xml:space="preserve"> electrodes</w:t>
      </w:r>
      <w:r w:rsidR="00807574">
        <w:rPr>
          <w:lang w:val="en-US"/>
        </w:rPr>
        <w:t xml:space="preserve"> </w:t>
      </w:r>
      <w:r w:rsidR="00807574" w:rsidRPr="00CE15A6">
        <w:rPr>
          <w:lang w:val="en-US"/>
        </w:rPr>
        <w:t>eligible</w:t>
      </w:r>
      <w:r w:rsidR="00807574">
        <w:rPr>
          <w:lang w:val="en-US"/>
        </w:rPr>
        <w:t xml:space="preserve"> for </w:t>
      </w:r>
      <w:r w:rsidR="00807574" w:rsidRPr="00CE15A6">
        <w:rPr>
          <w:lang w:val="en-US"/>
        </w:rPr>
        <w:t>coin cell</w:t>
      </w:r>
      <w:r w:rsidR="00807574">
        <w:rPr>
          <w:lang w:val="en-US"/>
        </w:rPr>
        <w:t>s</w:t>
      </w:r>
      <w:r w:rsidR="009F7253" w:rsidRPr="00CE15A6">
        <w:rPr>
          <w:lang w:val="en-US"/>
        </w:rPr>
        <w:t xml:space="preserve">. </w:t>
      </w:r>
    </w:p>
    <w:p w14:paraId="4B60AF08" w14:textId="0EBBD34D" w:rsidR="009F7253" w:rsidRPr="00CE15A6" w:rsidRDefault="009F7253" w:rsidP="00AC10DD">
      <w:pPr>
        <w:pStyle w:val="Beschriftung"/>
        <w:rPr>
          <w:lang w:val="en-US"/>
        </w:rPr>
      </w:pPr>
      <w:r w:rsidRPr="00CE15A6">
        <w:rPr>
          <w:lang w:val="en-US"/>
        </w:rPr>
        <w:t xml:space="preserve">A conventional flattening or pressing procedure is no option </w:t>
      </w:r>
      <w:r w:rsidR="003D6C38">
        <w:rPr>
          <w:lang w:val="en-US"/>
        </w:rPr>
        <w:t>to flatten the electrode to the desired thickness</w:t>
      </w:r>
      <w:r w:rsidRPr="00CE15A6">
        <w:rPr>
          <w:lang w:val="en-US"/>
        </w:rPr>
        <w:t>, since the procedure would rupture the preformed ridged SEI. Therefore, a second stainless steel pressing device was built in</w:t>
      </w:r>
      <w:r w:rsidR="00807574">
        <w:rPr>
          <w:lang w:val="en-US"/>
        </w:rPr>
        <w:t>-</w:t>
      </w:r>
      <w:r w:rsidRPr="00AC10DD">
        <w:rPr>
          <w:lang w:val="en-US"/>
        </w:rPr>
        <w:t>house (</w:t>
      </w:r>
      <w:r w:rsidR="00AC10DD" w:rsidRPr="00AC10DD">
        <w:rPr>
          <w:lang w:val="en-US"/>
        </w:rPr>
        <w:t xml:space="preserve">Fig. </w:t>
      </w:r>
      <w:r w:rsidR="00AC10DD" w:rsidRPr="00AC10DD">
        <w:rPr>
          <w:noProof/>
          <w:lang w:val="en-US"/>
        </w:rPr>
        <w:t>1</w:t>
      </w:r>
      <w:r w:rsidR="00AC10DD">
        <w:rPr>
          <w:lang w:val="en-US"/>
        </w:rPr>
        <w:t xml:space="preserve"> </w:t>
      </w:r>
      <w:r w:rsidRPr="00AC10DD">
        <w:rPr>
          <w:lang w:val="en-US"/>
        </w:rPr>
        <w:t>b),</w:t>
      </w:r>
      <w:r w:rsidRPr="00CE15A6">
        <w:rPr>
          <w:lang w:val="en-US"/>
        </w:rPr>
        <w:t xml:space="preserve"> </w:t>
      </w:r>
      <w:r w:rsidR="0020699B" w:rsidRPr="00CE15A6">
        <w:rPr>
          <w:lang w:val="en-US"/>
        </w:rPr>
        <w:t xml:space="preserve">and </w:t>
      </w:r>
      <w:r w:rsidRPr="00CE15A6">
        <w:rPr>
          <w:lang w:val="en-US"/>
        </w:rPr>
        <w:t>used in the following way: The cut lithium slice</w:t>
      </w:r>
      <w:r w:rsidR="00AE0F6E" w:rsidRPr="00CE15A6">
        <w:rPr>
          <w:lang w:val="en-US"/>
        </w:rPr>
        <w:t xml:space="preserve"> of the first step</w:t>
      </w:r>
      <w:r w:rsidRPr="00CE15A6">
        <w:rPr>
          <w:lang w:val="en-US"/>
        </w:rPr>
        <w:t xml:space="preserve"> is placed in a bowl (E) and is covered by the reaction liquid</w:t>
      </w:r>
      <w:r w:rsidR="00AE0F6E" w:rsidRPr="00CE15A6">
        <w:rPr>
          <w:lang w:val="en-US"/>
        </w:rPr>
        <w:t xml:space="preserve"> (50 mL)</w:t>
      </w:r>
      <w:r w:rsidRPr="00CE15A6">
        <w:rPr>
          <w:lang w:val="en-US"/>
        </w:rPr>
        <w:t>. The desired thickness was pre</w:t>
      </w:r>
      <w:r w:rsidR="00807574">
        <w:rPr>
          <w:lang w:val="en-US"/>
        </w:rPr>
        <w:t>-</w:t>
      </w:r>
      <w:r w:rsidRPr="00CE15A6">
        <w:rPr>
          <w:lang w:val="en-US"/>
        </w:rPr>
        <w:t xml:space="preserve">determined by putting a </w:t>
      </w:r>
      <w:r w:rsidRPr="00CE15A6">
        <w:rPr>
          <w:lang w:val="en-US"/>
        </w:rPr>
        <w:lastRenderedPageBreak/>
        <w:t>stainless steel spacer (F, 200 µm thick) into the bowl. The set up bowl is the</w:t>
      </w:r>
      <w:r w:rsidR="00D54EAD">
        <w:rPr>
          <w:lang w:val="en-US"/>
        </w:rPr>
        <w:t>reafter</w:t>
      </w:r>
      <w:r w:rsidRPr="00CE15A6">
        <w:rPr>
          <w:lang w:val="en-US"/>
        </w:rPr>
        <w:t xml:space="preserve"> put into the press (G) and lithium is pressed to the desired thickness by screwing down the stamp (H) until the spacer thickness is reached. In this setup, once more, the freshly surfaced lithium will only have the option to react with the surrounding reaction liquid. Finally, the stamp (H) is lifted until the bowl can be removed, yielding </w:t>
      </w:r>
      <w:r w:rsidR="00732638">
        <w:rPr>
          <w:lang w:val="en-US"/>
        </w:rPr>
        <w:t>a</w:t>
      </w:r>
      <w:r w:rsidRPr="00CE15A6">
        <w:rPr>
          <w:lang w:val="en-US"/>
        </w:rPr>
        <w:t xml:space="preserve"> pressed lithium sheet</w:t>
      </w:r>
      <w:r w:rsidR="00732638">
        <w:rPr>
          <w:lang w:val="en-US"/>
        </w:rPr>
        <w:t xml:space="preserve">, </w:t>
      </w:r>
      <w:r w:rsidRPr="00CE15A6">
        <w:rPr>
          <w:lang w:val="en-US"/>
        </w:rPr>
        <w:t xml:space="preserve">covered by the desired </w:t>
      </w:r>
      <w:r w:rsidR="00A36244" w:rsidRPr="00CE15A6">
        <w:rPr>
          <w:lang w:val="en-US"/>
        </w:rPr>
        <w:t>p</w:t>
      </w:r>
      <w:r w:rsidRPr="00CE15A6">
        <w:rPr>
          <w:lang w:val="en-US"/>
        </w:rPr>
        <w:t xml:space="preserve">SEI. </w:t>
      </w:r>
      <w:r w:rsidR="00D54EAD">
        <w:rPr>
          <w:lang w:val="en-US"/>
        </w:rPr>
        <w:t xml:space="preserve">Although the </w:t>
      </w:r>
      <w:r w:rsidR="00A31074" w:rsidRPr="00CE15A6">
        <w:rPr>
          <w:lang w:val="en-US"/>
        </w:rPr>
        <w:t>200 µm was the minimal thickness reproducibly generated by using human strength</w:t>
      </w:r>
      <w:r w:rsidR="00232651">
        <w:rPr>
          <w:lang w:val="en-US"/>
        </w:rPr>
        <w:t xml:space="preserve">, </w:t>
      </w:r>
      <w:r w:rsidR="00A31074" w:rsidRPr="00CE15A6">
        <w:rPr>
          <w:lang w:val="en-US"/>
        </w:rPr>
        <w:t>in principle thinner sheets of lithium can be produced</w:t>
      </w:r>
      <w:r w:rsidR="00232651">
        <w:rPr>
          <w:lang w:val="en-US"/>
        </w:rPr>
        <w:t xml:space="preserve"> </w:t>
      </w:r>
      <w:r w:rsidR="00A31074" w:rsidRPr="00CE15A6">
        <w:rPr>
          <w:lang w:val="en-US"/>
        </w:rPr>
        <w:t>using the same procedure and a mechanical press.</w:t>
      </w:r>
    </w:p>
    <w:p w14:paraId="5727AD88" w14:textId="0624A98F" w:rsidR="009F7253" w:rsidRPr="00CE15A6" w:rsidRDefault="009F7253" w:rsidP="00AC10DD">
      <w:pPr>
        <w:pStyle w:val="Beschriftung"/>
        <w:rPr>
          <w:lang w:val="en-US"/>
        </w:rPr>
      </w:pPr>
      <w:r w:rsidRPr="00CE15A6">
        <w:rPr>
          <w:lang w:val="en-US"/>
        </w:rPr>
        <w:t>The resulting electrodes (Ø12 mm), used for cell assembly, are stamped out of the pre</w:t>
      </w:r>
      <w:r w:rsidR="00807574">
        <w:rPr>
          <w:lang w:val="en-US"/>
        </w:rPr>
        <w:t>-</w:t>
      </w:r>
      <w:r w:rsidRPr="00CE15A6">
        <w:rPr>
          <w:lang w:val="en-US"/>
        </w:rPr>
        <w:t xml:space="preserve">treated lithium sheet using a stamper. The complete process is performed in a Ar-filled glovebox </w:t>
      </w:r>
      <w:r w:rsidR="00A31074" w:rsidRPr="00CE15A6">
        <w:rPr>
          <w:lang w:val="en-US"/>
        </w:rPr>
        <w:t>(H</w:t>
      </w:r>
      <w:r w:rsidR="00A31074" w:rsidRPr="00CE15A6">
        <w:rPr>
          <w:vertAlign w:val="subscript"/>
          <w:lang w:val="en-US"/>
        </w:rPr>
        <w:t>2</w:t>
      </w:r>
      <w:r w:rsidR="00A31074" w:rsidRPr="00CE15A6">
        <w:rPr>
          <w:lang w:val="en-US"/>
        </w:rPr>
        <w:t>O and O</w:t>
      </w:r>
      <w:r w:rsidR="00A31074" w:rsidRPr="00CE15A6">
        <w:rPr>
          <w:vertAlign w:val="subscript"/>
          <w:lang w:val="en-US"/>
        </w:rPr>
        <w:t xml:space="preserve">2 </w:t>
      </w:r>
      <w:r w:rsidR="00A31074" w:rsidRPr="00CE15A6">
        <w:rPr>
          <w:lang w:val="en-US"/>
        </w:rPr>
        <w:t>content</w:t>
      </w:r>
      <w:r w:rsidR="00A31074" w:rsidRPr="00CE15A6">
        <w:rPr>
          <w:vertAlign w:val="subscript"/>
          <w:lang w:val="en-US"/>
        </w:rPr>
        <w:t xml:space="preserve"> </w:t>
      </w:r>
      <w:r w:rsidR="00A31074" w:rsidRPr="00CE15A6">
        <w:rPr>
          <w:lang w:val="en-US"/>
        </w:rPr>
        <w:t>&lt;0,1</w:t>
      </w:r>
      <w:r w:rsidR="00232651">
        <w:rPr>
          <w:lang w:val="en-US"/>
        </w:rPr>
        <w:t> </w:t>
      </w:r>
      <w:r w:rsidR="00A31074" w:rsidRPr="00CE15A6">
        <w:rPr>
          <w:lang w:val="en-US"/>
        </w:rPr>
        <w:t>ppm</w:t>
      </w:r>
      <w:r w:rsidR="00232651">
        <w:rPr>
          <w:lang w:val="en-US"/>
        </w:rPr>
        <w:t>, N2 &lt;5 ppm</w:t>
      </w:r>
      <w:r w:rsidR="00A31074" w:rsidRPr="00CE15A6">
        <w:rPr>
          <w:lang w:val="en-US"/>
        </w:rPr>
        <w:t xml:space="preserve">) </w:t>
      </w:r>
      <w:r w:rsidRPr="00CE15A6">
        <w:rPr>
          <w:lang w:val="en-US"/>
        </w:rPr>
        <w:t>and the two pre</w:t>
      </w:r>
      <w:r w:rsidR="00EE1AFA">
        <w:rPr>
          <w:lang w:val="en-US"/>
        </w:rPr>
        <w:t>-</w:t>
      </w:r>
      <w:r w:rsidRPr="00CE15A6">
        <w:rPr>
          <w:lang w:val="en-US"/>
        </w:rPr>
        <w:t>treatment devices are thoroughly cleaned outside the glovebox with, first, H</w:t>
      </w:r>
      <w:r w:rsidRPr="00CE15A6">
        <w:rPr>
          <w:vertAlign w:val="subscript"/>
          <w:lang w:val="en-US"/>
        </w:rPr>
        <w:t>2</w:t>
      </w:r>
      <w:r w:rsidRPr="00CE15A6">
        <w:rPr>
          <w:lang w:val="en-US"/>
        </w:rPr>
        <w:t>O and, second, acetone after each day or when the reaction liquid is changed, to avoid any preventable contaminations. The procedure was</w:t>
      </w:r>
      <w:r w:rsidR="00A31074" w:rsidRPr="00CE15A6">
        <w:rPr>
          <w:lang w:val="en-US"/>
        </w:rPr>
        <w:t xml:space="preserve"> performed as described with BE, </w:t>
      </w:r>
      <w:r w:rsidRPr="00CE15A6">
        <w:rPr>
          <w:lang w:val="en-US"/>
        </w:rPr>
        <w:t>AE</w:t>
      </w:r>
      <w:r w:rsidR="00A31074" w:rsidRPr="00CE15A6">
        <w:rPr>
          <w:lang w:val="en-US"/>
        </w:rPr>
        <w:noBreakHyphen/>
      </w:r>
      <w:r w:rsidRPr="00CE15A6">
        <w:rPr>
          <w:lang w:val="en-US"/>
        </w:rPr>
        <w:t>VC</w:t>
      </w:r>
      <w:r w:rsidR="00A31074" w:rsidRPr="00CE15A6">
        <w:rPr>
          <w:lang w:val="en-US"/>
        </w:rPr>
        <w:t xml:space="preserve"> and AE</w:t>
      </w:r>
      <w:r w:rsidR="00A31074" w:rsidRPr="00CE15A6">
        <w:rPr>
          <w:lang w:val="en-US"/>
        </w:rPr>
        <w:noBreakHyphen/>
        <w:t>FEC</w:t>
      </w:r>
      <w:r w:rsidRPr="00CE15A6">
        <w:rPr>
          <w:lang w:val="en-US"/>
        </w:rPr>
        <w:t xml:space="preserve"> as reaction liquids to </w:t>
      </w:r>
      <w:r w:rsidR="00130195" w:rsidRPr="00CE15A6">
        <w:rPr>
          <w:lang w:val="en-US"/>
        </w:rPr>
        <w:t xml:space="preserve">form </w:t>
      </w:r>
      <w:r w:rsidRPr="00CE15A6">
        <w:rPr>
          <w:lang w:val="en-US"/>
        </w:rPr>
        <w:t xml:space="preserve">the corresponding pSEI on </w:t>
      </w:r>
      <w:r w:rsidR="00A31074" w:rsidRPr="00CE15A6">
        <w:rPr>
          <w:lang w:val="en-US"/>
        </w:rPr>
        <w:t>the pre</w:t>
      </w:r>
      <w:r w:rsidR="00EE1AFA">
        <w:rPr>
          <w:lang w:val="en-US"/>
        </w:rPr>
        <w:t>-</w:t>
      </w:r>
      <w:r w:rsidR="00A31074" w:rsidRPr="00CE15A6">
        <w:rPr>
          <w:lang w:val="en-US"/>
        </w:rPr>
        <w:t xml:space="preserve">treated electrodes BE@Li, </w:t>
      </w:r>
      <w:r w:rsidRPr="00CE15A6">
        <w:rPr>
          <w:lang w:val="en-US"/>
        </w:rPr>
        <w:t xml:space="preserve">AE-VC@Li </w:t>
      </w:r>
      <w:r w:rsidR="00A31074" w:rsidRPr="00CE15A6">
        <w:rPr>
          <w:lang w:val="en-US"/>
        </w:rPr>
        <w:t>AE</w:t>
      </w:r>
      <w:r w:rsidR="00A31074" w:rsidRPr="00CE15A6">
        <w:rPr>
          <w:lang w:val="en-US"/>
        </w:rPr>
        <w:noBreakHyphen/>
        <w:t xml:space="preserve">FEC@Li. </w:t>
      </w:r>
      <w:r w:rsidRPr="00CE15A6">
        <w:rPr>
          <w:lang w:val="en-US"/>
        </w:rPr>
        <w:t xml:space="preserve">Additionally, the </w:t>
      </w:r>
      <w:r w:rsidR="00A31074" w:rsidRPr="00CE15A6">
        <w:rPr>
          <w:lang w:val="en-US"/>
        </w:rPr>
        <w:t>three</w:t>
      </w:r>
      <w:r w:rsidRPr="00CE15A6">
        <w:rPr>
          <w:lang w:val="en-US"/>
        </w:rPr>
        <w:t xml:space="preserve"> pre</w:t>
      </w:r>
      <w:r w:rsidR="00807574">
        <w:rPr>
          <w:lang w:val="en-US"/>
        </w:rPr>
        <w:t>-</w:t>
      </w:r>
      <w:r w:rsidRPr="00CE15A6">
        <w:rPr>
          <w:lang w:val="en-US"/>
        </w:rPr>
        <w:t xml:space="preserve">treated electrodes were compared with battery grade pristine lithium (pLi), to evaluate the influence </w:t>
      </w:r>
      <w:r w:rsidR="00232651">
        <w:rPr>
          <w:lang w:val="en-US"/>
        </w:rPr>
        <w:t xml:space="preserve">on </w:t>
      </w:r>
      <w:r w:rsidR="006102D4">
        <w:rPr>
          <w:lang w:val="en-US"/>
        </w:rPr>
        <w:t>vital</w:t>
      </w:r>
      <w:r w:rsidR="00232651">
        <w:rPr>
          <w:lang w:val="en-US"/>
        </w:rPr>
        <w:t xml:space="preserve"> SEI characteristics </w:t>
      </w:r>
      <w:r w:rsidRPr="00CE15A6">
        <w:rPr>
          <w:lang w:val="en-US"/>
        </w:rPr>
        <w:t xml:space="preserve">of both the </w:t>
      </w:r>
      <w:r w:rsidR="006102D4">
        <w:rPr>
          <w:lang w:val="en-US"/>
        </w:rPr>
        <w:t xml:space="preserve">different </w:t>
      </w:r>
      <w:r w:rsidRPr="00CE15A6">
        <w:rPr>
          <w:lang w:val="en-US"/>
        </w:rPr>
        <w:t>pSEI</w:t>
      </w:r>
      <w:r w:rsidR="006102D4">
        <w:rPr>
          <w:lang w:val="en-US"/>
        </w:rPr>
        <w:t>s</w:t>
      </w:r>
      <w:r w:rsidRPr="00CE15A6">
        <w:rPr>
          <w:lang w:val="en-US"/>
        </w:rPr>
        <w:t xml:space="preserve"> and the </w:t>
      </w:r>
      <w:r w:rsidR="003F3C0F">
        <w:rPr>
          <w:lang w:val="en-US"/>
        </w:rPr>
        <w:t>NPL</w:t>
      </w:r>
      <w:r w:rsidRPr="00CE15A6">
        <w:rPr>
          <w:lang w:val="en-US"/>
        </w:rPr>
        <w:t xml:space="preserve"> covering pLi</w:t>
      </w:r>
      <w:r w:rsidR="00232651">
        <w:rPr>
          <w:lang w:val="en-US"/>
        </w:rPr>
        <w:t>.</w:t>
      </w:r>
    </w:p>
    <w:p w14:paraId="28391C44" w14:textId="77777777" w:rsidR="009F7253" w:rsidRPr="00CE15A6" w:rsidRDefault="009F7253" w:rsidP="00AC10DD">
      <w:pPr>
        <w:pStyle w:val="Beschriftung"/>
        <w:rPr>
          <w:lang w:val="en-US"/>
        </w:rPr>
      </w:pPr>
    </w:p>
    <w:p w14:paraId="31FE18B9" w14:textId="41F3C116" w:rsidR="009F7253" w:rsidRPr="00732638" w:rsidRDefault="00732638" w:rsidP="00732638">
      <w:pPr>
        <w:keepNext/>
        <w:jc w:val="both"/>
        <w:rPr>
          <w:rFonts w:ascii="Times New Roman" w:hAnsi="Times New Roman" w:cs="Times New Roman"/>
          <w:noProof/>
          <w:lang w:val="en-US" w:eastAsia="de-DE"/>
        </w:rPr>
      </w:pPr>
      <w:r w:rsidRPr="00732638">
        <w:rPr>
          <w:rFonts w:ascii="Times New Roman" w:hAnsi="Times New Roman" w:cs="Times New Roman"/>
          <w:noProof/>
          <w:lang w:eastAsia="de-DE"/>
        </w:rPr>
        <w:drawing>
          <wp:inline distT="0" distB="0" distL="0" distR="0" wp14:anchorId="78AE43D1" wp14:editId="68544535">
            <wp:extent cx="5760720" cy="2950832"/>
            <wp:effectExtent l="0" t="0" r="0" b="2540"/>
            <wp:docPr id="4" name="Grafik 4" descr="M:\Gruppen\Flüssigelektrolyte\_PROJECTS\LILLINT\Paper\Pretreatment-Method-Paper\Figures\Fig1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ruppen\Flüssigelektrolyte\_PROJECTS\LILLINT\Paper\Pretreatment-Method-Paper\Figures\Fig1_HR.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950832"/>
                    </a:xfrm>
                    <a:prstGeom prst="rect">
                      <a:avLst/>
                    </a:prstGeom>
                    <a:noFill/>
                    <a:ln>
                      <a:noFill/>
                    </a:ln>
                  </pic:spPr>
                </pic:pic>
              </a:graphicData>
            </a:graphic>
          </wp:inline>
        </w:drawing>
      </w:r>
    </w:p>
    <w:p w14:paraId="35B60A8D" w14:textId="0317E889" w:rsidR="00732638" w:rsidRDefault="00AC10DD" w:rsidP="00732638">
      <w:pPr>
        <w:pStyle w:val="Untertitel"/>
      </w:pPr>
      <w:bookmarkStart w:id="1" w:name="_Ref104289822"/>
      <w:r>
        <w:t xml:space="preserve">Fig. </w:t>
      </w:r>
      <w:r w:rsidR="007160F2">
        <w:rPr>
          <w:noProof/>
        </w:rPr>
        <w:t>1</w:t>
      </w:r>
      <w:bookmarkEnd w:id="1"/>
      <w:r w:rsidR="00A31074" w:rsidRPr="00AC10DD">
        <w:t>.</w:t>
      </w:r>
      <w:r w:rsidR="009F7253" w:rsidRPr="00AC10DD">
        <w:t xml:space="preserve"> Schematic view of a) cutting device and b) pressing device used to </w:t>
      </w:r>
      <w:r w:rsidR="00733D79" w:rsidRPr="00AC10DD">
        <w:t>pre</w:t>
      </w:r>
      <w:r w:rsidR="00EE1AFA">
        <w:t>-</w:t>
      </w:r>
      <w:r w:rsidR="00733D79" w:rsidRPr="00AC10DD">
        <w:t>treat</w:t>
      </w:r>
      <w:r w:rsidR="00A31074" w:rsidRPr="00AC10DD">
        <w:t xml:space="preserve"> the electrodes BE@Li, </w:t>
      </w:r>
      <w:r w:rsidR="009F7253" w:rsidRPr="00AC10DD">
        <w:t>AE</w:t>
      </w:r>
      <w:r w:rsidR="00A31074" w:rsidRPr="00AC10DD">
        <w:noBreakHyphen/>
      </w:r>
      <w:r w:rsidR="009F7253" w:rsidRPr="00AC10DD">
        <w:t>VC@Li</w:t>
      </w:r>
      <w:r w:rsidR="00A31074" w:rsidRPr="00AC10DD">
        <w:t xml:space="preserve"> and AE</w:t>
      </w:r>
      <w:r w:rsidR="00A31074" w:rsidRPr="00AC10DD">
        <w:noBreakHyphen/>
        <w:t>FEC@Li</w:t>
      </w:r>
      <w:r w:rsidR="009F7253" w:rsidRPr="00AC10DD">
        <w:t xml:space="preserve"> using</w:t>
      </w:r>
      <w:r w:rsidR="00A31074" w:rsidRPr="00AC10DD">
        <w:t xml:space="preserve"> the respective electrolytes BE, </w:t>
      </w:r>
      <w:r w:rsidR="009F7253" w:rsidRPr="00AC10DD">
        <w:t>AE</w:t>
      </w:r>
      <w:r w:rsidR="00A31074" w:rsidRPr="00AC10DD">
        <w:noBreakHyphen/>
      </w:r>
      <w:r w:rsidR="009F7253" w:rsidRPr="00AC10DD">
        <w:t>VC</w:t>
      </w:r>
      <w:r w:rsidR="00A31074" w:rsidRPr="00AC10DD">
        <w:t xml:space="preserve"> and AE</w:t>
      </w:r>
      <w:r w:rsidR="00A31074" w:rsidRPr="00AC10DD">
        <w:noBreakHyphen/>
        <w:t>FEC</w:t>
      </w:r>
      <w:r w:rsidR="009F7253" w:rsidRPr="00AC10DD">
        <w:t xml:space="preserve"> as reaction liquids. A – bottom part of the cutting device; B – tungsten wire; C – Top part of the cutting device; D – Cutting device-bowl filled with reaction liquid (blue); E – Pressing device-bowl; F – Spacer; G – Press; H – Stamp used for pressing by screwing downwards. </w:t>
      </w:r>
    </w:p>
    <w:p w14:paraId="42AD33B0" w14:textId="7E559EB2" w:rsidR="009F7253" w:rsidRDefault="00B90812" w:rsidP="009F2841">
      <w:pPr>
        <w:pStyle w:val="MT2"/>
      </w:pPr>
      <w:r w:rsidRPr="00CE15A6">
        <w:t>C</w:t>
      </w:r>
      <w:r w:rsidR="009F7253" w:rsidRPr="00CE15A6">
        <w:t xml:space="preserve">haracterization of </w:t>
      </w:r>
      <w:r w:rsidR="00CE2383">
        <w:t xml:space="preserve">the </w:t>
      </w:r>
      <w:r w:rsidR="009F7253" w:rsidRPr="00CE15A6">
        <w:t>pSEI</w:t>
      </w:r>
    </w:p>
    <w:p w14:paraId="37621A0F" w14:textId="3348E216" w:rsidR="002D23F1" w:rsidRPr="00CE15A6" w:rsidRDefault="00B90812" w:rsidP="00AC10DD">
      <w:pPr>
        <w:pStyle w:val="Beschriftung"/>
        <w:rPr>
          <w:lang w:val="en-US"/>
        </w:rPr>
      </w:pPr>
      <w:r w:rsidRPr="00CE15A6">
        <w:rPr>
          <w:lang w:val="en-US"/>
        </w:rPr>
        <w:t xml:space="preserve">Initial differences between the </w:t>
      </w:r>
      <w:r w:rsidR="003F3C0F">
        <w:rPr>
          <w:lang w:val="en-US"/>
        </w:rPr>
        <w:t>NPL</w:t>
      </w:r>
      <w:r w:rsidRPr="00CE15A6">
        <w:rPr>
          <w:lang w:val="en-US"/>
        </w:rPr>
        <w:t xml:space="preserve"> on pLi and the pSEI on the pre</w:t>
      </w:r>
      <w:r w:rsidR="00807574">
        <w:rPr>
          <w:lang w:val="en-US"/>
        </w:rPr>
        <w:t>-</w:t>
      </w:r>
      <w:r w:rsidRPr="00CE15A6">
        <w:rPr>
          <w:lang w:val="en-US"/>
        </w:rPr>
        <w:t>treated electrodes BE@Li, AE</w:t>
      </w:r>
      <w:r w:rsidRPr="00CE15A6">
        <w:rPr>
          <w:lang w:val="en-US"/>
        </w:rPr>
        <w:noBreakHyphen/>
        <w:t>VC@Li and AE</w:t>
      </w:r>
      <w:r w:rsidRPr="00CE15A6">
        <w:rPr>
          <w:lang w:val="en-US"/>
        </w:rPr>
        <w:noBreakHyphen/>
        <w:t xml:space="preserve">FEC@Li were </w:t>
      </w:r>
      <w:r w:rsidR="00577283">
        <w:rPr>
          <w:lang w:val="en-US"/>
        </w:rPr>
        <w:t>analy</w:t>
      </w:r>
      <w:r w:rsidR="00FA5B2B">
        <w:rPr>
          <w:lang w:val="en-US"/>
        </w:rPr>
        <w:t>z</w:t>
      </w:r>
      <w:r w:rsidR="00577283">
        <w:rPr>
          <w:lang w:val="en-US"/>
        </w:rPr>
        <w:t xml:space="preserve">ed </w:t>
      </w:r>
      <w:r w:rsidRPr="00CE15A6">
        <w:rPr>
          <w:lang w:val="en-US"/>
        </w:rPr>
        <w:t>optical</w:t>
      </w:r>
      <w:r w:rsidR="00577283">
        <w:rPr>
          <w:lang w:val="en-US"/>
        </w:rPr>
        <w:t>ly</w:t>
      </w:r>
      <w:r w:rsidRPr="00CE15A6">
        <w:rPr>
          <w:lang w:val="en-US"/>
        </w:rPr>
        <w:t xml:space="preserve"> </w:t>
      </w:r>
      <w:r w:rsidR="00232651">
        <w:rPr>
          <w:lang w:val="en-US"/>
        </w:rPr>
        <w:t xml:space="preserve">(incl. </w:t>
      </w:r>
      <w:r w:rsidRPr="00CE15A6">
        <w:rPr>
          <w:lang w:val="en-US"/>
        </w:rPr>
        <w:t>SEM</w:t>
      </w:r>
      <w:r w:rsidR="00232651">
        <w:rPr>
          <w:lang w:val="en-US"/>
        </w:rPr>
        <w:t>)</w:t>
      </w:r>
      <w:r w:rsidRPr="00CE15A6">
        <w:rPr>
          <w:lang w:val="en-US"/>
        </w:rPr>
        <w:t xml:space="preserve"> in combination with </w:t>
      </w:r>
      <w:r w:rsidRPr="00AC10DD">
        <w:rPr>
          <w:i/>
          <w:lang w:val="en-US"/>
        </w:rPr>
        <w:t>cryo</w:t>
      </w:r>
      <w:r w:rsidRPr="00CE15A6">
        <w:rPr>
          <w:lang w:val="en-US"/>
        </w:rPr>
        <w:t xml:space="preserve"> FIB cutting and EDX, to evaluate the morphology of the pSEI. Furthermore</w:t>
      </w:r>
      <w:r w:rsidR="00E01AA4" w:rsidRPr="00CE15A6">
        <w:rPr>
          <w:lang w:val="en-US"/>
        </w:rPr>
        <w:t>,</w:t>
      </w:r>
      <w:r w:rsidRPr="00CE15A6">
        <w:rPr>
          <w:lang w:val="en-US"/>
        </w:rPr>
        <w:t xml:space="preserve"> the chemical compo</w:t>
      </w:r>
      <w:r w:rsidR="00E01AA4" w:rsidRPr="00CE15A6">
        <w:rPr>
          <w:lang w:val="en-US"/>
        </w:rPr>
        <w:t xml:space="preserve">sition of the different electrodes was </w:t>
      </w:r>
      <w:r w:rsidR="00FA5B2B">
        <w:rPr>
          <w:lang w:val="en-US"/>
        </w:rPr>
        <w:t xml:space="preserve">determined </w:t>
      </w:r>
      <w:r w:rsidR="00E01AA4" w:rsidRPr="00CE15A6">
        <w:rPr>
          <w:lang w:val="en-US"/>
        </w:rPr>
        <w:t>by means of XPS analysis.</w:t>
      </w:r>
      <w:r w:rsidR="00AC10DD">
        <w:rPr>
          <w:lang w:val="en-US"/>
        </w:rPr>
        <w:t xml:space="preserve"> </w:t>
      </w:r>
      <w:r w:rsidR="00E01AA4" w:rsidRPr="00CE15A6">
        <w:rPr>
          <w:lang w:val="en-US"/>
        </w:rPr>
        <w:t>The pre</w:t>
      </w:r>
      <w:r w:rsidR="00807574">
        <w:rPr>
          <w:lang w:val="en-US"/>
        </w:rPr>
        <w:t>-</w:t>
      </w:r>
      <w:r w:rsidR="00E01AA4" w:rsidRPr="00CE15A6">
        <w:rPr>
          <w:lang w:val="en-US"/>
        </w:rPr>
        <w:t xml:space="preserve">treated electrodes </w:t>
      </w:r>
      <w:r w:rsidR="0051419C">
        <w:rPr>
          <w:lang w:val="en-US"/>
        </w:rPr>
        <w:t xml:space="preserve">already </w:t>
      </w:r>
      <w:r w:rsidR="00E01AA4" w:rsidRPr="00CE15A6">
        <w:rPr>
          <w:lang w:val="en-US"/>
        </w:rPr>
        <w:t>visibly differ from pLi (</w:t>
      </w:r>
      <w:r w:rsidR="00AC10DD" w:rsidRPr="00AC10DD">
        <w:rPr>
          <w:lang w:val="en-US"/>
        </w:rPr>
        <w:t xml:space="preserve">Fig. </w:t>
      </w:r>
      <w:r w:rsidR="00AC10DD" w:rsidRPr="00AC10DD">
        <w:rPr>
          <w:noProof/>
          <w:lang w:val="en-US"/>
        </w:rPr>
        <w:t>2</w:t>
      </w:r>
      <w:r w:rsidR="00AC10DD">
        <w:rPr>
          <w:lang w:val="en-US"/>
        </w:rPr>
        <w:t xml:space="preserve"> </w:t>
      </w:r>
      <w:r w:rsidR="00E01AA4" w:rsidRPr="00AC10DD">
        <w:rPr>
          <w:lang w:val="en-US"/>
        </w:rPr>
        <w:t>a</w:t>
      </w:r>
      <w:r w:rsidR="00E01AA4" w:rsidRPr="00CE15A6">
        <w:rPr>
          <w:lang w:val="en-US"/>
        </w:rPr>
        <w:t xml:space="preserve">), which is covered by a shiny gray and dense </w:t>
      </w:r>
      <w:r w:rsidR="003F3C0F">
        <w:rPr>
          <w:lang w:val="en-US"/>
        </w:rPr>
        <w:t>NPL</w:t>
      </w:r>
      <w:r w:rsidR="00E01AA4" w:rsidRPr="00CE15A6">
        <w:rPr>
          <w:lang w:val="en-US"/>
        </w:rPr>
        <w:t xml:space="preserve">. The pSEI covered electrodes </w:t>
      </w:r>
      <w:r w:rsidR="00FA5B2B">
        <w:rPr>
          <w:lang w:val="en-US"/>
        </w:rPr>
        <w:t xml:space="preserve">look </w:t>
      </w:r>
      <w:r w:rsidR="00E01AA4" w:rsidRPr="00CE15A6">
        <w:rPr>
          <w:lang w:val="en-US"/>
        </w:rPr>
        <w:t xml:space="preserve">more mat gray and the SEM images reveal </w:t>
      </w:r>
      <w:r w:rsidR="00232651">
        <w:rPr>
          <w:lang w:val="en-US"/>
        </w:rPr>
        <w:t xml:space="preserve">a homogeneous </w:t>
      </w:r>
      <w:r w:rsidR="007C1004" w:rsidRPr="00CE15A6">
        <w:rPr>
          <w:lang w:val="en-US"/>
        </w:rPr>
        <w:t>reaction layer on all three electrodes</w:t>
      </w:r>
      <w:r w:rsidR="00FB3BD8" w:rsidRPr="00CE15A6">
        <w:rPr>
          <w:lang w:val="en-US"/>
        </w:rPr>
        <w:t xml:space="preserve">. </w:t>
      </w:r>
      <w:r w:rsidR="007C1004" w:rsidRPr="00CE15A6">
        <w:rPr>
          <w:lang w:val="en-US"/>
        </w:rPr>
        <w:t>BE@Li (b) is covered by a dense reaction layer, which is rather uniform, whereas AE</w:t>
      </w:r>
      <w:r w:rsidR="007C1004" w:rsidRPr="00CE15A6">
        <w:rPr>
          <w:lang w:val="en-US"/>
        </w:rPr>
        <w:noBreakHyphen/>
        <w:t>FEC@Li (d) and especially AE</w:t>
      </w:r>
      <w:r w:rsidR="007C1004" w:rsidRPr="00CE15A6">
        <w:rPr>
          <w:lang w:val="en-US"/>
        </w:rPr>
        <w:noBreakHyphen/>
        <w:t xml:space="preserve">VC@Li (c) </w:t>
      </w:r>
      <w:r w:rsidR="00EE1AFA" w:rsidRPr="00CE15A6">
        <w:rPr>
          <w:lang w:val="en-US"/>
        </w:rPr>
        <w:t>expose</w:t>
      </w:r>
      <w:r w:rsidR="007C1004" w:rsidRPr="00CE15A6">
        <w:rPr>
          <w:lang w:val="en-US"/>
        </w:rPr>
        <w:t xml:space="preserve"> a much rougher surface morphology.</w:t>
      </w:r>
    </w:p>
    <w:p w14:paraId="23E4BA67" w14:textId="49D5AF4E" w:rsidR="00AC10DD" w:rsidRDefault="00732638" w:rsidP="00AC10DD">
      <w:pPr>
        <w:keepNext/>
      </w:pPr>
      <w:r w:rsidRPr="00732638">
        <w:rPr>
          <w:noProof/>
          <w:lang w:eastAsia="de-DE"/>
        </w:rPr>
        <w:lastRenderedPageBreak/>
        <w:drawing>
          <wp:inline distT="0" distB="0" distL="0" distR="0" wp14:anchorId="530B79E7" wp14:editId="5F1F694B">
            <wp:extent cx="5760720" cy="2499981"/>
            <wp:effectExtent l="0" t="0" r="0" b="0"/>
            <wp:docPr id="7" name="Grafik 7" descr="M:\Gruppen\Flüssigelektrolyte\_PROJECTS\LILLINT\Paper\Pretreatment-Method-Paper\Figures\Fig2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uppen\Flüssigelektrolyte\_PROJECTS\LILLINT\Paper\Pretreatment-Method-Paper\Figures\Fig2_H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99981"/>
                    </a:xfrm>
                    <a:prstGeom prst="rect">
                      <a:avLst/>
                    </a:prstGeom>
                    <a:noFill/>
                    <a:ln>
                      <a:noFill/>
                    </a:ln>
                  </pic:spPr>
                </pic:pic>
              </a:graphicData>
            </a:graphic>
          </wp:inline>
        </w:drawing>
      </w:r>
    </w:p>
    <w:p w14:paraId="7C2F0B4D" w14:textId="7E94BF8C" w:rsidR="002D23F1" w:rsidRPr="00CE15A6" w:rsidRDefault="00AC10DD" w:rsidP="00AC10DD">
      <w:pPr>
        <w:pStyle w:val="Untertitel"/>
      </w:pPr>
      <w:bookmarkStart w:id="2" w:name="_Ref104289967"/>
      <w:r>
        <w:t xml:space="preserve">Fig. </w:t>
      </w:r>
      <w:r w:rsidR="007160F2">
        <w:rPr>
          <w:noProof/>
        </w:rPr>
        <w:t>2</w:t>
      </w:r>
      <w:bookmarkEnd w:id="2"/>
      <w:r>
        <w:t xml:space="preserve">. </w:t>
      </w:r>
      <w:r w:rsidR="00E01AA4" w:rsidRPr="00CE15A6">
        <w:t xml:space="preserve">Optical </w:t>
      </w:r>
      <w:r w:rsidR="00EE1AFA">
        <w:t>(inse</w:t>
      </w:r>
      <w:r w:rsidR="00D876F2">
        <w:t>r</w:t>
      </w:r>
      <w:r w:rsidR="00EE1AFA">
        <w:t xml:space="preserve">t) </w:t>
      </w:r>
      <w:r w:rsidR="00E01AA4" w:rsidRPr="00CE15A6">
        <w:t xml:space="preserve">and SEM images of the </w:t>
      </w:r>
      <w:r w:rsidR="003F3C0F">
        <w:t>NPL</w:t>
      </w:r>
      <w:r w:rsidR="00E01AA4" w:rsidRPr="00CE15A6">
        <w:t xml:space="preserve"> on pLi (a), as well as, the pSEI on BE@Li (b), AE</w:t>
      </w:r>
      <w:r w:rsidR="00E01AA4" w:rsidRPr="00CE15A6">
        <w:noBreakHyphen/>
        <w:t>VC@Li (c) and AE</w:t>
      </w:r>
      <w:r w:rsidR="00E01AA4" w:rsidRPr="00CE15A6">
        <w:noBreakHyphen/>
        <w:t>FEC@Li (d).</w:t>
      </w:r>
    </w:p>
    <w:p w14:paraId="17B6AEB9" w14:textId="6EAA40C6" w:rsidR="000C20DF" w:rsidRPr="00CE15A6" w:rsidRDefault="000C20DF" w:rsidP="00AC10DD">
      <w:pPr>
        <w:pStyle w:val="Beschriftung"/>
        <w:rPr>
          <w:lang w:val="en-US"/>
        </w:rPr>
      </w:pPr>
      <w:r w:rsidRPr="00CE15A6">
        <w:rPr>
          <w:lang w:val="en-US"/>
        </w:rPr>
        <w:t>Determining the difference in thickness of the pSEI is a challenging proposition. For this study</w:t>
      </w:r>
      <w:r w:rsidR="00400469">
        <w:rPr>
          <w:lang w:val="en-US"/>
        </w:rPr>
        <w:t>,</w:t>
      </w:r>
      <w:r w:rsidRPr="00CE15A6">
        <w:rPr>
          <w:lang w:val="en-US"/>
        </w:rPr>
        <w:t xml:space="preserve"> </w:t>
      </w:r>
      <w:r w:rsidRPr="00CE15A6">
        <w:rPr>
          <w:i/>
          <w:lang w:val="en-US"/>
        </w:rPr>
        <w:t>cryo</w:t>
      </w:r>
      <w:r w:rsidRPr="00CE15A6">
        <w:rPr>
          <w:lang w:val="en-US"/>
        </w:rPr>
        <w:t xml:space="preserve"> focused ion beam (FIB) cross</w:t>
      </w:r>
      <w:r w:rsidR="00EE1AFA">
        <w:rPr>
          <w:lang w:val="en-US"/>
        </w:rPr>
        <w:t>-</w:t>
      </w:r>
      <w:r w:rsidRPr="00CE15A6">
        <w:rPr>
          <w:lang w:val="en-US"/>
        </w:rPr>
        <w:t>section singular electron microscopy (SEM) was used as method of choice. The pre</w:t>
      </w:r>
      <w:r w:rsidR="00807574">
        <w:rPr>
          <w:lang w:val="en-US"/>
        </w:rPr>
        <w:t>-</w:t>
      </w:r>
      <w:r w:rsidRPr="00CE15A6">
        <w:rPr>
          <w:lang w:val="en-US"/>
        </w:rPr>
        <w:t xml:space="preserve">treated electrodes were </w:t>
      </w:r>
      <w:r w:rsidR="00EE1AFA">
        <w:rPr>
          <w:lang w:val="en-US"/>
        </w:rPr>
        <w:t xml:space="preserve">not washed, but </w:t>
      </w:r>
      <w:r w:rsidRPr="00CE15A6">
        <w:rPr>
          <w:lang w:val="en-US"/>
        </w:rPr>
        <w:t xml:space="preserve">only dried in vacuum in order </w:t>
      </w:r>
      <w:r w:rsidR="00AC10DD">
        <w:rPr>
          <w:lang w:val="en-US"/>
        </w:rPr>
        <w:t>to preserve the</w:t>
      </w:r>
      <w:r w:rsidRPr="00CE15A6">
        <w:rPr>
          <w:lang w:val="en-US"/>
        </w:rPr>
        <w:t xml:space="preserve"> fragile organic outer layer of the SEI</w:t>
      </w:r>
      <w:r w:rsidR="00EE1AFA">
        <w:rPr>
          <w:lang w:val="en-US"/>
        </w:rPr>
        <w:t xml:space="preserve"> as much as possible</w:t>
      </w:r>
      <w:r w:rsidRPr="00CE15A6">
        <w:rPr>
          <w:lang w:val="en-US"/>
        </w:rPr>
        <w:t xml:space="preserve">. After </w:t>
      </w:r>
      <w:r w:rsidR="00AC10DD">
        <w:rPr>
          <w:lang w:val="en-US"/>
        </w:rPr>
        <w:t>FIB cutting</w:t>
      </w:r>
      <w:r w:rsidR="0047518C" w:rsidRPr="00CE15A6">
        <w:rPr>
          <w:lang w:val="en-US"/>
        </w:rPr>
        <w:t>,</w:t>
      </w:r>
      <w:r w:rsidRPr="00CE15A6">
        <w:rPr>
          <w:lang w:val="en-US"/>
        </w:rPr>
        <w:t xml:space="preserve"> the cross section was analyzed </w:t>
      </w:r>
      <w:r w:rsidRPr="00CE15A6">
        <w:rPr>
          <w:i/>
          <w:lang w:val="en-US"/>
        </w:rPr>
        <w:t>via</w:t>
      </w:r>
      <w:r w:rsidRPr="00CE15A6">
        <w:rPr>
          <w:lang w:val="en-US"/>
        </w:rPr>
        <w:t xml:space="preserve"> EDX </w:t>
      </w:r>
      <w:r w:rsidRPr="00AC10DD">
        <w:rPr>
          <w:lang w:val="en-US"/>
        </w:rPr>
        <w:t>spectroscopy (</w:t>
      </w:r>
      <w:r w:rsidR="00AC10DD" w:rsidRPr="00AC10DD">
        <w:rPr>
          <w:lang w:val="en-US"/>
        </w:rPr>
        <w:t xml:space="preserve">Fig. </w:t>
      </w:r>
      <w:r w:rsidR="00AC10DD" w:rsidRPr="00AC10DD">
        <w:rPr>
          <w:noProof/>
          <w:lang w:val="en-US"/>
        </w:rPr>
        <w:t>3</w:t>
      </w:r>
      <w:r w:rsidRPr="00AC10DD">
        <w:rPr>
          <w:lang w:val="en-US"/>
        </w:rPr>
        <w:t>). Cross</w:t>
      </w:r>
      <w:r w:rsidRPr="00CE15A6">
        <w:rPr>
          <w:lang w:val="en-US"/>
        </w:rPr>
        <w:t xml:space="preserve"> section SEM images of </w:t>
      </w:r>
      <w:r w:rsidR="00E85A8B" w:rsidRPr="00CE15A6">
        <w:rPr>
          <w:lang w:val="en-US"/>
        </w:rPr>
        <w:t xml:space="preserve">pLi (a) show a ~0.8 µm thick </w:t>
      </w:r>
      <w:r w:rsidR="003F3C0F">
        <w:rPr>
          <w:lang w:val="en-US"/>
        </w:rPr>
        <w:t>NPL</w:t>
      </w:r>
      <w:r w:rsidR="00E85A8B" w:rsidRPr="00CE15A6">
        <w:rPr>
          <w:lang w:val="en-US"/>
        </w:rPr>
        <w:t xml:space="preserve">, containing a slightly higher amount of oxygen (b) and next to no fluorine species (c). The pSEI on </w:t>
      </w:r>
      <w:r w:rsidRPr="00CE15A6">
        <w:rPr>
          <w:lang w:val="en-US"/>
        </w:rPr>
        <w:t>BE@Li (</w:t>
      </w:r>
      <w:r w:rsidR="00E85A8B" w:rsidRPr="00CE15A6">
        <w:rPr>
          <w:lang w:val="en-US"/>
        </w:rPr>
        <w:t>d</w:t>
      </w:r>
      <w:r w:rsidRPr="00CE15A6">
        <w:rPr>
          <w:lang w:val="en-US"/>
        </w:rPr>
        <w:t>)</w:t>
      </w:r>
      <w:r w:rsidR="00E85A8B" w:rsidRPr="00CE15A6">
        <w:rPr>
          <w:lang w:val="en-US"/>
        </w:rPr>
        <w:t>, on the other hand, is determined to be ~</w:t>
      </w:r>
      <w:r w:rsidRPr="00CE15A6">
        <w:rPr>
          <w:lang w:val="en-US"/>
        </w:rPr>
        <w:t>4 µm thick an</w:t>
      </w:r>
      <w:r w:rsidR="00E85A8B" w:rsidRPr="00CE15A6">
        <w:rPr>
          <w:lang w:val="en-US"/>
        </w:rPr>
        <w:t xml:space="preserve">d subsequent EDX analysis reveals a </w:t>
      </w:r>
      <w:r w:rsidRPr="00CE15A6">
        <w:rPr>
          <w:lang w:val="en-US"/>
        </w:rPr>
        <w:t>two layered structure</w:t>
      </w:r>
      <w:r w:rsidR="00E85A8B" w:rsidRPr="00CE15A6">
        <w:rPr>
          <w:lang w:val="en-US"/>
        </w:rPr>
        <w:t xml:space="preserve">, with the outer layer having a higher </w:t>
      </w:r>
      <w:r w:rsidRPr="00CE15A6">
        <w:rPr>
          <w:lang w:val="en-US"/>
        </w:rPr>
        <w:t>oxygen atom</w:t>
      </w:r>
      <w:r w:rsidR="00E85A8B" w:rsidRPr="00CE15A6">
        <w:rPr>
          <w:lang w:val="en-US"/>
        </w:rPr>
        <w:t xml:space="preserve"> (e</w:t>
      </w:r>
      <w:r w:rsidRPr="00CE15A6">
        <w:rPr>
          <w:lang w:val="en-US"/>
        </w:rPr>
        <w:t xml:space="preserve">) and </w:t>
      </w:r>
      <w:r w:rsidR="00E85A8B" w:rsidRPr="00CE15A6">
        <w:rPr>
          <w:lang w:val="en-US"/>
        </w:rPr>
        <w:t xml:space="preserve">the inner a </w:t>
      </w:r>
      <w:r w:rsidR="00E85A8B" w:rsidRPr="00A8061A">
        <w:rPr>
          <w:lang w:val="en-US"/>
        </w:rPr>
        <w:t>higher fluorine signal abundance (f</w:t>
      </w:r>
      <w:r w:rsidRPr="00A8061A">
        <w:rPr>
          <w:lang w:val="en-US"/>
        </w:rPr>
        <w:t xml:space="preserve">). </w:t>
      </w:r>
      <w:r w:rsidR="006102D4" w:rsidRPr="00A8061A">
        <w:rPr>
          <w:lang w:val="en-US"/>
        </w:rPr>
        <w:t>The o</w:t>
      </w:r>
      <w:r w:rsidR="00400469" w:rsidRPr="00A8061A">
        <w:rPr>
          <w:lang w:val="en-US"/>
        </w:rPr>
        <w:t xml:space="preserve">btained </w:t>
      </w:r>
      <w:r w:rsidRPr="00A8061A">
        <w:rPr>
          <w:lang w:val="en-US"/>
        </w:rPr>
        <w:t xml:space="preserve">results are consistent with known literature results of an outer </w:t>
      </w:r>
      <w:r w:rsidR="009A1E65" w:rsidRPr="00A8061A">
        <w:rPr>
          <w:lang w:val="en-US"/>
        </w:rPr>
        <w:t xml:space="preserve">mostly </w:t>
      </w:r>
      <w:r w:rsidRPr="00A8061A">
        <w:rPr>
          <w:lang w:val="en-US"/>
        </w:rPr>
        <w:t xml:space="preserve">organic and inner </w:t>
      </w:r>
      <w:r w:rsidR="009A1E65" w:rsidRPr="00A8061A">
        <w:rPr>
          <w:lang w:val="en-US"/>
        </w:rPr>
        <w:t xml:space="preserve">mostly </w:t>
      </w:r>
      <w:r w:rsidRPr="00A8061A">
        <w:rPr>
          <w:lang w:val="en-US"/>
        </w:rPr>
        <w:t>inorganic layer of the SEI.</w:t>
      </w:r>
      <w:r w:rsidR="00146C90" w:rsidRPr="00A8061A">
        <w:rPr>
          <w:noProof/>
          <w:lang w:val="en-US"/>
        </w:rPr>
        <w:t>[48,49]</w:t>
      </w:r>
      <w:r w:rsidR="00E85A8B" w:rsidRPr="00A8061A">
        <w:rPr>
          <w:lang w:val="en-US"/>
        </w:rPr>
        <w:t xml:space="preserve"> </w:t>
      </w:r>
      <w:r w:rsidR="00054D13" w:rsidRPr="00A8061A">
        <w:rPr>
          <w:lang w:val="en-US"/>
        </w:rPr>
        <w:t xml:space="preserve">A </w:t>
      </w:r>
      <w:r w:rsidR="00E85A8B" w:rsidRPr="00A8061A">
        <w:rPr>
          <w:lang w:val="en-US"/>
        </w:rPr>
        <w:t xml:space="preserve">similar </w:t>
      </w:r>
      <w:r w:rsidRPr="00A8061A">
        <w:rPr>
          <w:lang w:val="en-US"/>
        </w:rPr>
        <w:t>distribution is obse</w:t>
      </w:r>
      <w:r w:rsidR="00E85A8B" w:rsidRPr="00A8061A">
        <w:rPr>
          <w:lang w:val="en-US"/>
        </w:rPr>
        <w:t xml:space="preserve">rved for the </w:t>
      </w:r>
      <w:proofErr w:type="spellStart"/>
      <w:r w:rsidR="00E85A8B" w:rsidRPr="00A8061A">
        <w:rPr>
          <w:lang w:val="en-US"/>
        </w:rPr>
        <w:t>pSEI</w:t>
      </w:r>
      <w:proofErr w:type="spellEnd"/>
      <w:r w:rsidR="00E85A8B" w:rsidRPr="00A8061A">
        <w:rPr>
          <w:lang w:val="en-US"/>
        </w:rPr>
        <w:t xml:space="preserve"> on </w:t>
      </w:r>
      <w:proofErr w:type="spellStart"/>
      <w:r w:rsidR="00E85A8B" w:rsidRPr="00A8061A">
        <w:rPr>
          <w:lang w:val="en-US"/>
        </w:rPr>
        <w:t>AE</w:t>
      </w:r>
      <w:r w:rsidR="00E85A8B" w:rsidRPr="00A8061A">
        <w:rPr>
          <w:lang w:val="en-US"/>
        </w:rPr>
        <w:noBreakHyphen/>
        <w:t>VC@Li</w:t>
      </w:r>
      <w:proofErr w:type="spellEnd"/>
      <w:r w:rsidR="00E85A8B" w:rsidRPr="00A8061A">
        <w:rPr>
          <w:lang w:val="en-US"/>
        </w:rPr>
        <w:t xml:space="preserve"> (g</w:t>
      </w:r>
      <w:r w:rsidRPr="00A8061A">
        <w:rPr>
          <w:lang w:val="en-US"/>
        </w:rPr>
        <w:t>-</w:t>
      </w:r>
      <w:r w:rsidR="00E85A8B" w:rsidRPr="00A8061A">
        <w:rPr>
          <w:lang w:val="en-US"/>
        </w:rPr>
        <w:t>i</w:t>
      </w:r>
      <w:r w:rsidRPr="00A8061A">
        <w:rPr>
          <w:lang w:val="en-US"/>
        </w:rPr>
        <w:t>)</w:t>
      </w:r>
      <w:r w:rsidR="00E85A8B" w:rsidRPr="00A8061A">
        <w:rPr>
          <w:lang w:val="en-US"/>
        </w:rPr>
        <w:t xml:space="preserve"> and </w:t>
      </w:r>
      <w:proofErr w:type="spellStart"/>
      <w:r w:rsidR="00E85A8B" w:rsidRPr="00A8061A">
        <w:rPr>
          <w:lang w:val="en-US"/>
        </w:rPr>
        <w:t>AE</w:t>
      </w:r>
      <w:r w:rsidR="00E85A8B" w:rsidRPr="00A8061A">
        <w:rPr>
          <w:lang w:val="en-US"/>
        </w:rPr>
        <w:noBreakHyphen/>
        <w:t>FEC@Li</w:t>
      </w:r>
      <w:proofErr w:type="spellEnd"/>
      <w:r w:rsidR="00E85A8B" w:rsidRPr="00A8061A">
        <w:rPr>
          <w:lang w:val="en-US"/>
        </w:rPr>
        <w:t xml:space="preserve"> (j-l)</w:t>
      </w:r>
      <w:r w:rsidR="009A1E65" w:rsidRPr="00A8061A">
        <w:rPr>
          <w:lang w:val="en-US"/>
        </w:rPr>
        <w:t xml:space="preserve">, however, </w:t>
      </w:r>
      <w:r w:rsidRPr="00A8061A">
        <w:rPr>
          <w:lang w:val="en-US"/>
        </w:rPr>
        <w:t xml:space="preserve">the thickness is only </w:t>
      </w:r>
      <w:r w:rsidR="00400469" w:rsidRPr="00A8061A">
        <w:rPr>
          <w:lang w:val="en-US"/>
        </w:rPr>
        <w:t xml:space="preserve">determined </w:t>
      </w:r>
      <w:r w:rsidRPr="00A8061A">
        <w:rPr>
          <w:lang w:val="en-US"/>
        </w:rPr>
        <w:t>to be ~1 µm</w:t>
      </w:r>
      <w:r w:rsidR="00E85A8B" w:rsidRPr="00A8061A">
        <w:rPr>
          <w:lang w:val="en-US"/>
        </w:rPr>
        <w:t xml:space="preserve"> and ~0.8 µm respectively</w:t>
      </w:r>
      <w:r w:rsidRPr="00A8061A">
        <w:rPr>
          <w:lang w:val="en-US"/>
        </w:rPr>
        <w:t xml:space="preserve">. </w:t>
      </w:r>
      <w:r w:rsidR="00E85A8B" w:rsidRPr="00A8061A">
        <w:rPr>
          <w:lang w:val="en-US"/>
        </w:rPr>
        <w:t>Additives like VC and FEC reducing the thickness of the SEI ha</w:t>
      </w:r>
      <w:r w:rsidR="00EE1AFA" w:rsidRPr="00A8061A">
        <w:rPr>
          <w:lang w:val="en-US"/>
        </w:rPr>
        <w:t>ve</w:t>
      </w:r>
      <w:r w:rsidR="00E85A8B" w:rsidRPr="00A8061A">
        <w:rPr>
          <w:lang w:val="en-US"/>
        </w:rPr>
        <w:t xml:space="preserve"> been reported before</w:t>
      </w:r>
      <w:r w:rsidR="001051FC" w:rsidRPr="00A8061A">
        <w:rPr>
          <w:lang w:val="en-US"/>
        </w:rPr>
        <w:t>,</w:t>
      </w:r>
      <w:r w:rsidR="00146C90" w:rsidRPr="00A8061A">
        <w:rPr>
          <w:noProof/>
          <w:lang w:val="en-US"/>
        </w:rPr>
        <w:t>[50]</w:t>
      </w:r>
      <w:r w:rsidR="001051FC" w:rsidRPr="00A8061A">
        <w:rPr>
          <w:lang w:val="en-US"/>
        </w:rPr>
        <w:t xml:space="preserve"> but the determined thicknesses for the three pSEIs vastly exceeds the thickness for </w:t>
      </w:r>
      <w:r w:rsidR="00BD37A2" w:rsidRPr="00A8061A">
        <w:rPr>
          <w:lang w:val="en-US"/>
        </w:rPr>
        <w:t xml:space="preserve">typical </w:t>
      </w:r>
      <w:r w:rsidR="001051FC" w:rsidRPr="00A8061A">
        <w:rPr>
          <w:i/>
          <w:lang w:val="en-US"/>
        </w:rPr>
        <w:t>post mortem</w:t>
      </w:r>
      <w:r w:rsidR="001051FC" w:rsidRPr="00A8061A">
        <w:rPr>
          <w:lang w:val="en-US"/>
        </w:rPr>
        <w:t xml:space="preserve"> measured SEIs of &lt;50 nm.</w:t>
      </w:r>
      <w:r w:rsidR="006263CB" w:rsidRPr="00A8061A">
        <w:rPr>
          <w:noProof/>
          <w:lang w:val="en-US"/>
        </w:rPr>
        <w:t>[22,48]</w:t>
      </w:r>
      <w:r w:rsidR="00A60EA2" w:rsidRPr="00A8061A">
        <w:rPr>
          <w:noProof/>
          <w:lang w:val="en-US"/>
        </w:rPr>
        <w:t xml:space="preserve"> </w:t>
      </w:r>
      <w:r w:rsidR="00A542D7" w:rsidRPr="00A8061A">
        <w:rPr>
          <w:noProof/>
          <w:lang w:val="en-US"/>
        </w:rPr>
        <w:t>In the case of AE</w:t>
      </w:r>
      <w:r w:rsidR="00A542D7" w:rsidRPr="00A8061A">
        <w:rPr>
          <w:noProof/>
          <w:lang w:val="en-US"/>
        </w:rPr>
        <w:noBreakHyphen/>
        <w:t>VC@Li (g-i) and AE</w:t>
      </w:r>
      <w:r w:rsidR="00A542D7" w:rsidRPr="00A8061A">
        <w:rPr>
          <w:noProof/>
          <w:lang w:val="en-US"/>
        </w:rPr>
        <w:noBreakHyphen/>
        <w:t>FEC@Li (j-l), EDX analysis revealed pSEI fragments embedded in the lithium bulk close to the electrode surface. These fragments are likely caused by folding of the lithium onto itself during the secound step of the preformation procedure (pressing), but are not believed to have a significant influence on the electrochemical characteristics of the el</w:t>
      </w:r>
      <w:r w:rsidR="00245709" w:rsidRPr="00A8061A">
        <w:rPr>
          <w:noProof/>
          <w:lang w:val="en-US"/>
        </w:rPr>
        <w:t>e</w:t>
      </w:r>
      <w:r w:rsidR="00A542D7" w:rsidRPr="00A8061A">
        <w:rPr>
          <w:noProof/>
          <w:lang w:val="en-US"/>
        </w:rPr>
        <w:t>ctrodes.</w:t>
      </w:r>
    </w:p>
    <w:p w14:paraId="78390A6C" w14:textId="18CAB03A" w:rsidR="00AC10DD" w:rsidRPr="00AA4D1F" w:rsidRDefault="00CC34CC" w:rsidP="008A1F62">
      <w:pPr>
        <w:keepNext/>
        <w:jc w:val="center"/>
        <w:rPr>
          <w:lang w:val="en-US"/>
        </w:rPr>
      </w:pPr>
      <w:r w:rsidRPr="00A8061A">
        <w:rPr>
          <w:noProof/>
          <w:lang w:eastAsia="de-DE"/>
        </w:rPr>
        <w:lastRenderedPageBreak/>
        <w:drawing>
          <wp:inline distT="0" distB="0" distL="0" distR="0" wp14:anchorId="274D7E1F" wp14:editId="24E40F8B">
            <wp:extent cx="3665159" cy="5370394"/>
            <wp:effectExtent l="0" t="0" r="0" b="1905"/>
            <wp:docPr id="2" name="Grafik 2" descr="M:\Gruppen\Flüssigelektrolyte\_PROJECTS\LILLINT\Paper\Pretreatment-Method-Paper\Figures\Fig3_rev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Gruppen\Flüssigelektrolyte\_PROJECTS\LILLINT\Paper\Pretreatment-Method-Paper\Figures\Fig3_rev_HR.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823" cy="5374298"/>
                    </a:xfrm>
                    <a:prstGeom prst="rect">
                      <a:avLst/>
                    </a:prstGeom>
                    <a:noFill/>
                    <a:ln>
                      <a:noFill/>
                    </a:ln>
                  </pic:spPr>
                </pic:pic>
              </a:graphicData>
            </a:graphic>
          </wp:inline>
        </w:drawing>
      </w:r>
    </w:p>
    <w:p w14:paraId="001A9AF1" w14:textId="075D819B" w:rsidR="000C20DF" w:rsidRPr="00CE15A6" w:rsidRDefault="00AC10DD" w:rsidP="00AC10DD">
      <w:pPr>
        <w:pStyle w:val="Untertitel"/>
      </w:pPr>
      <w:bookmarkStart w:id="3" w:name="_Ref104290233"/>
      <w:r w:rsidRPr="00AC10DD">
        <w:t xml:space="preserve">Fig. </w:t>
      </w:r>
      <w:r w:rsidR="007160F2">
        <w:rPr>
          <w:noProof/>
        </w:rPr>
        <w:t>3</w:t>
      </w:r>
      <w:bookmarkEnd w:id="3"/>
      <w:r w:rsidRPr="00AC10DD">
        <w:t>.</w:t>
      </w:r>
      <w:r w:rsidR="000C20DF" w:rsidRPr="00CE15A6">
        <w:t xml:space="preserve"> </w:t>
      </w:r>
      <w:r w:rsidR="000C20DF" w:rsidRPr="00CE15A6">
        <w:rPr>
          <w:i/>
        </w:rPr>
        <w:t>Cryo</w:t>
      </w:r>
      <w:r w:rsidR="000C20DF" w:rsidRPr="00CE15A6">
        <w:t xml:space="preserve"> FIB cross section SEM (a, d</w:t>
      </w:r>
      <w:r w:rsidR="00462E78" w:rsidRPr="00CE15A6">
        <w:t>, g, j</w:t>
      </w:r>
      <w:r w:rsidR="000C20DF" w:rsidRPr="00CE15A6">
        <w:t>) and EDX analysis of oxygen (b, d</w:t>
      </w:r>
      <w:r w:rsidR="00462E78" w:rsidRPr="00CE15A6">
        <w:t>, h, k</w:t>
      </w:r>
      <w:r w:rsidR="000C20DF" w:rsidRPr="00CE15A6">
        <w:t>) and fluoride (c, f</w:t>
      </w:r>
      <w:r w:rsidR="00A05159">
        <w:t>, i</w:t>
      </w:r>
      <w:r w:rsidR="00462E78" w:rsidRPr="00CE15A6">
        <w:t>, l</w:t>
      </w:r>
      <w:r w:rsidR="000C20DF" w:rsidRPr="00CE15A6">
        <w:t xml:space="preserve">) content of </w:t>
      </w:r>
      <w:proofErr w:type="spellStart"/>
      <w:r w:rsidR="00462E78" w:rsidRPr="00CE15A6">
        <w:t>pLi</w:t>
      </w:r>
      <w:proofErr w:type="spellEnd"/>
      <w:r w:rsidR="00462E78" w:rsidRPr="00CE15A6">
        <w:t xml:space="preserve"> (a-c) </w:t>
      </w:r>
      <w:proofErr w:type="spellStart"/>
      <w:r w:rsidR="00462E78" w:rsidRPr="00CE15A6">
        <w:t>BE@Li</w:t>
      </w:r>
      <w:proofErr w:type="spellEnd"/>
      <w:r w:rsidR="00462E78" w:rsidRPr="00CE15A6">
        <w:t xml:space="preserve"> (d-f</w:t>
      </w:r>
      <w:r w:rsidR="000C20DF" w:rsidRPr="00CE15A6">
        <w:t>)</w:t>
      </w:r>
      <w:r w:rsidR="00462E78" w:rsidRPr="00CE15A6">
        <w:t>,</w:t>
      </w:r>
      <w:r w:rsidR="000C20DF" w:rsidRPr="00CE15A6">
        <w:t xml:space="preserve"> </w:t>
      </w:r>
      <w:proofErr w:type="spellStart"/>
      <w:r w:rsidR="000C20DF" w:rsidRPr="00CE15A6">
        <w:t>AE-VC@Li</w:t>
      </w:r>
      <w:proofErr w:type="spellEnd"/>
      <w:r w:rsidR="000C20DF" w:rsidRPr="00CE15A6">
        <w:t xml:space="preserve"> (</w:t>
      </w:r>
      <w:r w:rsidR="00462E78" w:rsidRPr="00CE15A6">
        <w:t>g-i</w:t>
      </w:r>
      <w:r w:rsidR="000C20DF" w:rsidRPr="00CE15A6">
        <w:t>)</w:t>
      </w:r>
      <w:r w:rsidR="00462E78" w:rsidRPr="00CE15A6">
        <w:t xml:space="preserve"> and </w:t>
      </w:r>
      <w:proofErr w:type="spellStart"/>
      <w:r w:rsidR="00462E78" w:rsidRPr="00CE15A6">
        <w:t>AE</w:t>
      </w:r>
      <w:r w:rsidR="00462E78" w:rsidRPr="00CE15A6">
        <w:noBreakHyphen/>
        <w:t>FEC@Li</w:t>
      </w:r>
      <w:proofErr w:type="spellEnd"/>
      <w:r w:rsidR="00462E78" w:rsidRPr="00CE15A6">
        <w:t xml:space="preserve"> (j-l)</w:t>
      </w:r>
      <w:r w:rsidR="000C20DF" w:rsidRPr="00CE15A6">
        <w:t>.</w:t>
      </w:r>
    </w:p>
    <w:p w14:paraId="5BAB7146" w14:textId="1991B688" w:rsidR="007267BA" w:rsidRDefault="009F7253" w:rsidP="007267BA">
      <w:pPr>
        <w:pStyle w:val="Beschriftung"/>
        <w:rPr>
          <w:lang w:val="en-US"/>
        </w:rPr>
      </w:pPr>
      <w:r w:rsidRPr="00CE15A6">
        <w:rPr>
          <w:lang w:val="en-US"/>
        </w:rPr>
        <w:t xml:space="preserve">The difference in chemical composition </w:t>
      </w:r>
      <w:r w:rsidR="006A2399">
        <w:rPr>
          <w:lang w:val="en-US"/>
        </w:rPr>
        <w:t>of the different pSEIs</w:t>
      </w:r>
      <w:r w:rsidR="003F3C0F">
        <w:rPr>
          <w:lang w:val="en-US"/>
        </w:rPr>
        <w:t xml:space="preserve"> and the NPL</w:t>
      </w:r>
      <w:r w:rsidR="006A2399">
        <w:rPr>
          <w:lang w:val="en-US"/>
        </w:rPr>
        <w:t xml:space="preserve"> were</w:t>
      </w:r>
      <w:r w:rsidRPr="00CE15A6">
        <w:rPr>
          <w:lang w:val="en-US"/>
        </w:rPr>
        <w:t xml:space="preserve"> observed by means of </w:t>
      </w:r>
      <w:r w:rsidR="00130195" w:rsidRPr="00CE15A6">
        <w:rPr>
          <w:lang w:val="en-US"/>
        </w:rPr>
        <w:t xml:space="preserve">XPS </w:t>
      </w:r>
      <w:r w:rsidR="006A2399">
        <w:rPr>
          <w:lang w:val="en-US"/>
        </w:rPr>
        <w:t>analysis</w:t>
      </w:r>
      <w:r w:rsidRPr="00CE15A6">
        <w:rPr>
          <w:lang w:val="en-US"/>
        </w:rPr>
        <w:t xml:space="preserve"> (</w:t>
      </w:r>
      <w:r w:rsidR="00AC10DD" w:rsidRPr="00AC10DD">
        <w:rPr>
          <w:lang w:val="en-US"/>
        </w:rPr>
        <w:t xml:space="preserve">Fig. </w:t>
      </w:r>
      <w:r w:rsidR="00AC10DD" w:rsidRPr="00AC10DD">
        <w:rPr>
          <w:noProof/>
          <w:lang w:val="en-US"/>
        </w:rPr>
        <w:t>4</w:t>
      </w:r>
      <w:r w:rsidRPr="00CE15A6">
        <w:rPr>
          <w:lang w:val="en-US"/>
        </w:rPr>
        <w:t>).</w:t>
      </w:r>
      <w:r w:rsidR="006A2399">
        <w:rPr>
          <w:lang w:val="en-US"/>
        </w:rPr>
        <w:t xml:space="preserve"> Comparing the </w:t>
      </w:r>
      <w:r w:rsidR="006A2399" w:rsidRPr="00CE15A6">
        <w:rPr>
          <w:lang w:val="en-US"/>
        </w:rPr>
        <w:t xml:space="preserve">overall atomic distribution </w:t>
      </w:r>
      <w:r w:rsidR="006A2399">
        <w:rPr>
          <w:lang w:val="en-US"/>
        </w:rPr>
        <w:t>(</w:t>
      </w:r>
      <w:r w:rsidR="006A2399" w:rsidRPr="006A2399">
        <w:rPr>
          <w:lang w:val="en-US"/>
        </w:rPr>
        <w:t>a</w:t>
      </w:r>
      <w:r w:rsidR="006A2399">
        <w:rPr>
          <w:lang w:val="en-US"/>
        </w:rPr>
        <w:t xml:space="preserve">), </w:t>
      </w:r>
      <w:r w:rsidR="003F3C0F">
        <w:rPr>
          <w:lang w:val="en-US"/>
        </w:rPr>
        <w:t xml:space="preserve">the NPL on pLi mostly contains carbon (39 %) and oxygen components (35 %), </w:t>
      </w:r>
      <w:r w:rsidR="006102D4">
        <w:rPr>
          <w:lang w:val="en-US"/>
        </w:rPr>
        <w:t>whereas the</w:t>
      </w:r>
      <w:r w:rsidR="003F3C0F">
        <w:rPr>
          <w:lang w:val="en-US"/>
        </w:rPr>
        <w:t xml:space="preserve"> pSEIs also contain significant amounts of fluorine and some phosphorus at the exp</w:t>
      </w:r>
      <w:r w:rsidR="00BD37A2">
        <w:rPr>
          <w:lang w:val="en-US"/>
        </w:rPr>
        <w:t>e</w:t>
      </w:r>
      <w:r w:rsidR="003F3C0F">
        <w:rPr>
          <w:lang w:val="en-US"/>
        </w:rPr>
        <w:t xml:space="preserve">nse of less oxygen and carbon content. Noticeable, the presence of </w:t>
      </w:r>
      <w:r w:rsidR="00FC47EB">
        <w:rPr>
          <w:lang w:val="en-US"/>
        </w:rPr>
        <w:t>a</w:t>
      </w:r>
      <w:r w:rsidR="003F3C0F">
        <w:rPr>
          <w:lang w:val="en-US"/>
        </w:rPr>
        <w:t xml:space="preserve"> </w:t>
      </w:r>
      <w:r w:rsidR="00AD3830">
        <w:rPr>
          <w:lang w:val="en-US"/>
        </w:rPr>
        <w:t xml:space="preserve">functional electrolyte </w:t>
      </w:r>
      <w:r w:rsidR="003F3C0F">
        <w:rPr>
          <w:lang w:val="en-US"/>
        </w:rPr>
        <w:t xml:space="preserve">additive </w:t>
      </w:r>
      <w:r w:rsidR="00AD3830">
        <w:rPr>
          <w:lang w:val="en-US"/>
        </w:rPr>
        <w:t xml:space="preserve">leads to </w:t>
      </w:r>
      <w:r w:rsidR="003F3C0F">
        <w:rPr>
          <w:lang w:val="en-US"/>
        </w:rPr>
        <w:t>a decreased oxygen and carbon content on AE</w:t>
      </w:r>
      <w:r w:rsidR="003F3C0F">
        <w:rPr>
          <w:lang w:val="en-US"/>
        </w:rPr>
        <w:noBreakHyphen/>
        <w:t>VC@Li</w:t>
      </w:r>
      <w:r w:rsidR="007267BA">
        <w:rPr>
          <w:lang w:val="en-US"/>
        </w:rPr>
        <w:t xml:space="preserve"> and especially AE</w:t>
      </w:r>
      <w:r w:rsidR="007267BA">
        <w:rPr>
          <w:lang w:val="en-US"/>
        </w:rPr>
        <w:noBreakHyphen/>
        <w:t>FEC@Li whose pSEI was shown to contain almost as much fluorine (25 %) as carbon (26 %) and much more than oxygen (14 %). The higher Li content</w:t>
      </w:r>
      <w:r w:rsidR="006102D4">
        <w:rPr>
          <w:lang w:val="en-US"/>
        </w:rPr>
        <w:t>s</w:t>
      </w:r>
      <w:r w:rsidR="007267BA">
        <w:rPr>
          <w:lang w:val="en-US"/>
        </w:rPr>
        <w:t xml:space="preserve"> of AE</w:t>
      </w:r>
      <w:r w:rsidR="007267BA">
        <w:rPr>
          <w:lang w:val="en-US"/>
        </w:rPr>
        <w:noBreakHyphen/>
        <w:t>VC@Li (26 %) and AE</w:t>
      </w:r>
      <w:r w:rsidR="007267BA">
        <w:rPr>
          <w:lang w:val="en-US"/>
        </w:rPr>
        <w:noBreakHyphen/>
        <w:t>FEC@Li (34 %) indicate a larger contribution of the Li bulk and consequentially a thinner pSEI</w:t>
      </w:r>
      <w:r w:rsidR="001710F7">
        <w:rPr>
          <w:lang w:val="en-US"/>
        </w:rPr>
        <w:t xml:space="preserve">, </w:t>
      </w:r>
      <w:r w:rsidR="00AD3830">
        <w:rPr>
          <w:lang w:val="en-US"/>
        </w:rPr>
        <w:t xml:space="preserve">thus </w:t>
      </w:r>
      <w:r w:rsidR="001710F7">
        <w:rPr>
          <w:lang w:val="en-US"/>
        </w:rPr>
        <w:t xml:space="preserve">supporting the observations of the </w:t>
      </w:r>
      <w:r w:rsidR="001710F7">
        <w:rPr>
          <w:i/>
          <w:lang w:val="en-US"/>
        </w:rPr>
        <w:t xml:space="preserve">cryo </w:t>
      </w:r>
      <w:r w:rsidR="001710F7">
        <w:rPr>
          <w:lang w:val="en-US"/>
        </w:rPr>
        <w:t>FIB cross section SEM analysis</w:t>
      </w:r>
      <w:r w:rsidR="007267BA">
        <w:rPr>
          <w:lang w:val="en-US"/>
        </w:rPr>
        <w:t>.</w:t>
      </w:r>
      <w:bookmarkStart w:id="4" w:name="_Ref94876735"/>
    </w:p>
    <w:p w14:paraId="1EF0CCD4" w14:textId="5496AC9B" w:rsidR="00AC10DD" w:rsidRPr="00A8061A" w:rsidRDefault="00CC34CC" w:rsidP="007267BA">
      <w:pPr>
        <w:pStyle w:val="Beschriftung"/>
        <w:ind w:firstLine="0"/>
        <w:rPr>
          <w:lang w:val="en-US"/>
        </w:rPr>
      </w:pPr>
      <w:r w:rsidRPr="00A8061A">
        <w:rPr>
          <w:noProof/>
          <w:lang w:eastAsia="de-DE"/>
        </w:rPr>
        <w:lastRenderedPageBreak/>
        <w:drawing>
          <wp:inline distT="0" distB="0" distL="0" distR="0" wp14:anchorId="3B5AC743" wp14:editId="39FF3D36">
            <wp:extent cx="5760720" cy="2908039"/>
            <wp:effectExtent l="0" t="0" r="0" b="6985"/>
            <wp:docPr id="1" name="Grafik 1" descr="M:\Gruppen\Flüssigelektrolyte\_PROJECTS\LILLINT\Paper\Pretreatment-Method-Paper\Figures\Fig4_rev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ruppen\Flüssigelektrolyte\_PROJECTS\LILLINT\Paper\Pretreatment-Method-Paper\Figures\Fig4_rev_HR.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08039"/>
                    </a:xfrm>
                    <a:prstGeom prst="rect">
                      <a:avLst/>
                    </a:prstGeom>
                    <a:noFill/>
                    <a:ln>
                      <a:noFill/>
                    </a:ln>
                  </pic:spPr>
                </pic:pic>
              </a:graphicData>
            </a:graphic>
          </wp:inline>
        </w:drawing>
      </w:r>
    </w:p>
    <w:p w14:paraId="43618BC8" w14:textId="4DE9F30A" w:rsidR="009F7253" w:rsidRPr="00AC10DD" w:rsidRDefault="00AC10DD" w:rsidP="00AC10DD">
      <w:pPr>
        <w:pStyle w:val="Untertitel"/>
      </w:pPr>
      <w:bookmarkStart w:id="5" w:name="_Ref104290338"/>
      <w:r w:rsidRPr="00A8061A">
        <w:t xml:space="preserve">Fig. </w:t>
      </w:r>
      <w:r w:rsidR="007160F2" w:rsidRPr="00A8061A">
        <w:rPr>
          <w:noProof/>
        </w:rPr>
        <w:t>4</w:t>
      </w:r>
      <w:bookmarkEnd w:id="5"/>
      <w:r w:rsidRPr="00A8061A">
        <w:t>.</w:t>
      </w:r>
      <w:r w:rsidR="004F61AB" w:rsidRPr="00A8061A">
        <w:t xml:space="preserve"> </w:t>
      </w:r>
      <w:r w:rsidR="009F7253" w:rsidRPr="00A8061A">
        <w:t>XPS analys</w:t>
      </w:r>
      <w:r w:rsidR="00BD37A2" w:rsidRPr="00A8061A">
        <w:t>e</w:t>
      </w:r>
      <w:r w:rsidR="009F7253" w:rsidRPr="00A8061A">
        <w:t xml:space="preserve">s of pLi and the pSEI on BE@Li </w:t>
      </w:r>
      <w:r w:rsidR="00EF2153" w:rsidRPr="00A8061A">
        <w:t>AE</w:t>
      </w:r>
      <w:r w:rsidR="00EF2153" w:rsidRPr="00A8061A">
        <w:noBreakHyphen/>
        <w:t>VC@Li and AE-FEC@Li.</w:t>
      </w:r>
      <w:r w:rsidR="009F7253" w:rsidRPr="00A8061A">
        <w:t xml:space="preserve"> a) atomic distribution</w:t>
      </w:r>
      <w:r w:rsidR="00CC34CC" w:rsidRPr="00A8061A">
        <w:t xml:space="preserve"> (incl. standard deviation error, see SI for exact values)</w:t>
      </w:r>
      <w:r w:rsidR="009F7253" w:rsidRPr="00A8061A">
        <w:t>, and individual chemica</w:t>
      </w:r>
      <w:r w:rsidR="00EF2153" w:rsidRPr="00A8061A">
        <w:t xml:space="preserve">l resonance of b) pLi, c) BE@Li, </w:t>
      </w:r>
      <w:r w:rsidR="009F7253" w:rsidRPr="00A8061A">
        <w:t>d) AE</w:t>
      </w:r>
      <w:r w:rsidR="009F7253" w:rsidRPr="00A8061A">
        <w:noBreakHyphen/>
        <w:t>VC@Li</w:t>
      </w:r>
      <w:r w:rsidR="00EF2153" w:rsidRPr="00A8061A">
        <w:t xml:space="preserve"> and e) AE</w:t>
      </w:r>
      <w:r w:rsidR="00EF2153" w:rsidRPr="00A8061A">
        <w:noBreakHyphen/>
        <w:t>FEC@Li. C</w:t>
      </w:r>
      <w:r w:rsidR="009F7253" w:rsidRPr="00A8061A">
        <w:t>olor code for binding energy resonance: b-</w:t>
      </w:r>
      <w:r w:rsidR="00EF2153" w:rsidRPr="00A8061A">
        <w:t>e</w:t>
      </w:r>
      <w:r w:rsidR="009F7253" w:rsidRPr="00A8061A">
        <w:t xml:space="preserve">) F1s (left column): red – LiF; blue – </w:t>
      </w:r>
      <w:proofErr w:type="spellStart"/>
      <w:r w:rsidR="009F7253" w:rsidRPr="00A8061A">
        <w:t>F</w:t>
      </w:r>
      <w:r w:rsidR="009F7253" w:rsidRPr="00A8061A">
        <w:rPr>
          <w:vertAlign w:val="subscript"/>
        </w:rPr>
        <w:t>x</w:t>
      </w:r>
      <w:r w:rsidR="009F7253" w:rsidRPr="00A8061A">
        <w:t>P</w:t>
      </w:r>
      <w:r w:rsidR="009F7253" w:rsidRPr="00A8061A">
        <w:rPr>
          <w:vertAlign w:val="subscript"/>
        </w:rPr>
        <w:t>y</w:t>
      </w:r>
      <w:proofErr w:type="spellEnd"/>
      <w:r w:rsidR="009F7253" w:rsidRPr="00A8061A">
        <w:t xml:space="preserve">; green – </w:t>
      </w:r>
      <w:proofErr w:type="spellStart"/>
      <w:r w:rsidR="009F7253" w:rsidRPr="00A8061A">
        <w:t>F</w:t>
      </w:r>
      <w:r w:rsidR="009F7253" w:rsidRPr="00A8061A">
        <w:rPr>
          <w:vertAlign w:val="subscript"/>
        </w:rPr>
        <w:t>x</w:t>
      </w:r>
      <w:r w:rsidR="009F7253" w:rsidRPr="00A8061A">
        <w:t>PO</w:t>
      </w:r>
      <w:r w:rsidR="009F7253" w:rsidRPr="00A8061A">
        <w:rPr>
          <w:vertAlign w:val="subscript"/>
        </w:rPr>
        <w:t>z</w:t>
      </w:r>
      <w:proofErr w:type="spellEnd"/>
      <w:r w:rsidR="009F7253" w:rsidRPr="00A8061A">
        <w:t>. O1s (central column): red – Li</w:t>
      </w:r>
      <w:r w:rsidR="009F7253" w:rsidRPr="00A8061A">
        <w:rPr>
          <w:vertAlign w:val="subscript"/>
        </w:rPr>
        <w:t>2</w:t>
      </w:r>
      <w:r w:rsidR="009F7253" w:rsidRPr="00A8061A">
        <w:t>O; blue – ROLi; green – C=O; orange – C–O. C1s (right column): red – C–H, blue – C–O, green – C=O, orange – CO</w:t>
      </w:r>
      <w:r w:rsidR="009F7253" w:rsidRPr="00A8061A">
        <w:rPr>
          <w:vertAlign w:val="subscript"/>
        </w:rPr>
        <w:t>3</w:t>
      </w:r>
      <w:r w:rsidR="009F7253" w:rsidRPr="00A8061A">
        <w:t>.</w:t>
      </w:r>
      <w:bookmarkEnd w:id="4"/>
    </w:p>
    <w:p w14:paraId="28739764" w14:textId="1A3D5C47" w:rsidR="009F7253" w:rsidRPr="001710F7" w:rsidRDefault="009F7253" w:rsidP="001710F7">
      <w:pPr>
        <w:pStyle w:val="Beschriftung"/>
        <w:rPr>
          <w:bCs/>
          <w:lang w:val="en-US"/>
        </w:rPr>
      </w:pPr>
      <w:r w:rsidRPr="00CE15A6">
        <w:rPr>
          <w:lang w:val="en-US"/>
        </w:rPr>
        <w:t>The high oxygen content</w:t>
      </w:r>
      <w:r w:rsidR="00EF2153">
        <w:rPr>
          <w:lang w:val="en-US"/>
        </w:rPr>
        <w:t xml:space="preserve"> of pLi</w:t>
      </w:r>
      <w:r w:rsidRPr="00CE15A6">
        <w:rPr>
          <w:lang w:val="en-US"/>
        </w:rPr>
        <w:t xml:space="preserve"> is</w:t>
      </w:r>
      <w:r w:rsidR="00EF2153">
        <w:rPr>
          <w:lang w:val="en-US"/>
        </w:rPr>
        <w:t xml:space="preserve"> likely caused</w:t>
      </w:r>
      <w:r w:rsidRPr="00CE15A6">
        <w:rPr>
          <w:lang w:val="en-US"/>
        </w:rPr>
        <w:t xml:space="preserve"> by </w:t>
      </w:r>
      <w:r w:rsidR="00B552F5">
        <w:rPr>
          <w:lang w:val="en-US"/>
        </w:rPr>
        <w:t>a</w:t>
      </w:r>
      <w:r w:rsidRPr="00CE15A6">
        <w:rPr>
          <w:lang w:val="en-US"/>
        </w:rPr>
        <w:t xml:space="preserve"> high carbonate content (b, </w:t>
      </w:r>
      <w:r w:rsidR="00EF2153">
        <w:rPr>
          <w:lang w:val="en-US"/>
        </w:rPr>
        <w:t>C1s</w:t>
      </w:r>
      <w:r w:rsidR="007267BA">
        <w:rPr>
          <w:lang w:val="en-US"/>
        </w:rPr>
        <w:t xml:space="preserve">, </w:t>
      </w:r>
      <w:r w:rsidR="007267BA" w:rsidRPr="00CE15A6">
        <w:rPr>
          <w:lang w:val="en-US"/>
        </w:rPr>
        <w:t>290 eV</w:t>
      </w:r>
      <w:r w:rsidR="007267BA">
        <w:rPr>
          <w:lang w:val="en-US"/>
        </w:rPr>
        <w:t xml:space="preserve">). </w:t>
      </w:r>
      <w:r w:rsidR="001710F7">
        <w:rPr>
          <w:lang w:val="en-US"/>
        </w:rPr>
        <w:t>On the c</w:t>
      </w:r>
      <w:r w:rsidR="007267BA">
        <w:rPr>
          <w:lang w:val="en-US"/>
        </w:rPr>
        <w:t>ontrary</w:t>
      </w:r>
      <w:r w:rsidR="001710F7">
        <w:rPr>
          <w:lang w:val="en-US"/>
        </w:rPr>
        <w:t>,</w:t>
      </w:r>
      <w:r w:rsidR="007267BA">
        <w:rPr>
          <w:lang w:val="en-US"/>
        </w:rPr>
        <w:t xml:space="preserve"> only </w:t>
      </w:r>
      <w:r w:rsidR="00BD37A2">
        <w:rPr>
          <w:lang w:val="en-US"/>
        </w:rPr>
        <w:t xml:space="preserve">little </w:t>
      </w:r>
      <w:r w:rsidR="007267BA">
        <w:rPr>
          <w:lang w:val="en-US"/>
        </w:rPr>
        <w:t>carbonate is detected on</w:t>
      </w:r>
      <w:r w:rsidR="00B552F5">
        <w:rPr>
          <w:lang w:val="en-US"/>
        </w:rPr>
        <w:t xml:space="preserve"> BE@Li</w:t>
      </w:r>
      <w:r w:rsidR="007267BA">
        <w:rPr>
          <w:lang w:val="en-US"/>
        </w:rPr>
        <w:t xml:space="preserve"> (c) and</w:t>
      </w:r>
      <w:r w:rsidR="00B552F5">
        <w:rPr>
          <w:lang w:val="en-US"/>
        </w:rPr>
        <w:t xml:space="preserve"> almost no carbonate</w:t>
      </w:r>
      <w:r w:rsidRPr="00CE15A6">
        <w:rPr>
          <w:lang w:val="en-US"/>
        </w:rPr>
        <w:t xml:space="preserve"> is detected </w:t>
      </w:r>
      <w:r w:rsidR="001710F7">
        <w:rPr>
          <w:lang w:val="en-US"/>
        </w:rPr>
        <w:t>on</w:t>
      </w:r>
      <w:r w:rsidRPr="00CE15A6">
        <w:rPr>
          <w:lang w:val="en-US"/>
        </w:rPr>
        <w:t xml:space="preserve"> AE</w:t>
      </w:r>
      <w:r w:rsidRPr="00CE15A6">
        <w:rPr>
          <w:lang w:val="en-US"/>
        </w:rPr>
        <w:noBreakHyphen/>
        <w:t>VC@Li</w:t>
      </w:r>
      <w:r w:rsidR="00F36FEE">
        <w:rPr>
          <w:lang w:val="en-US"/>
        </w:rPr>
        <w:t xml:space="preserve"> (d)</w:t>
      </w:r>
      <w:r w:rsidR="00B552F5">
        <w:rPr>
          <w:lang w:val="en-US"/>
        </w:rPr>
        <w:t xml:space="preserve"> and AE</w:t>
      </w:r>
      <w:r w:rsidR="001710F7">
        <w:rPr>
          <w:lang w:val="en-US"/>
        </w:rPr>
        <w:noBreakHyphen/>
      </w:r>
      <w:r w:rsidR="00B552F5">
        <w:rPr>
          <w:lang w:val="en-US"/>
        </w:rPr>
        <w:t>FEC@Li</w:t>
      </w:r>
      <w:r w:rsidR="00F36FEE">
        <w:rPr>
          <w:lang w:val="en-US"/>
        </w:rPr>
        <w:t xml:space="preserve"> (e)</w:t>
      </w:r>
      <w:r w:rsidRPr="00CE15A6">
        <w:rPr>
          <w:lang w:val="en-US"/>
        </w:rPr>
        <w:t>.</w:t>
      </w:r>
      <w:r w:rsidR="00F740D4">
        <w:rPr>
          <w:lang w:val="en-US"/>
        </w:rPr>
        <w:t xml:space="preserve"> On the other hand, t</w:t>
      </w:r>
      <w:r w:rsidRPr="00CE15A6">
        <w:rPr>
          <w:lang w:val="en-US"/>
        </w:rPr>
        <w:t>he O 1s resonance</w:t>
      </w:r>
      <w:r w:rsidR="00F740D4">
        <w:rPr>
          <w:lang w:val="en-US"/>
        </w:rPr>
        <w:t>s</w:t>
      </w:r>
      <w:r w:rsidRPr="00CE15A6">
        <w:rPr>
          <w:lang w:val="en-US"/>
        </w:rPr>
        <w:t xml:space="preserve"> </w:t>
      </w:r>
      <w:r w:rsidR="00B552F5">
        <w:rPr>
          <w:lang w:val="en-US"/>
        </w:rPr>
        <w:t>of all</w:t>
      </w:r>
      <w:r w:rsidRPr="00CE15A6">
        <w:rPr>
          <w:lang w:val="en-US"/>
        </w:rPr>
        <w:t xml:space="preserve"> pSEIs </w:t>
      </w:r>
      <w:r w:rsidR="00F740D4">
        <w:rPr>
          <w:lang w:val="en-US"/>
        </w:rPr>
        <w:t>show</w:t>
      </w:r>
      <w:r w:rsidR="00B552F5">
        <w:rPr>
          <w:lang w:val="en-US"/>
        </w:rPr>
        <w:t xml:space="preserve"> an abundance of </w:t>
      </w:r>
      <w:r w:rsidRPr="00CE15A6">
        <w:rPr>
          <w:lang w:val="en-US"/>
        </w:rPr>
        <w:t>alcoholate</w:t>
      </w:r>
      <w:r w:rsidR="00F740D4">
        <w:rPr>
          <w:lang w:val="en-US"/>
        </w:rPr>
        <w:t>s (</w:t>
      </w:r>
      <w:proofErr w:type="spellStart"/>
      <w:r w:rsidR="00F740D4">
        <w:rPr>
          <w:lang w:val="en-US"/>
        </w:rPr>
        <w:t>ROLi</w:t>
      </w:r>
      <w:proofErr w:type="spellEnd"/>
      <w:r w:rsidR="00F740D4">
        <w:rPr>
          <w:lang w:val="en-US"/>
        </w:rPr>
        <w:t xml:space="preserve">, 530 eV), </w:t>
      </w:r>
      <w:r w:rsidRPr="00CE15A6">
        <w:rPr>
          <w:lang w:val="en-US"/>
        </w:rPr>
        <w:t>Li</w:t>
      </w:r>
      <w:r w:rsidRPr="00CE15A6">
        <w:rPr>
          <w:vertAlign w:val="subscript"/>
          <w:lang w:val="en-US"/>
        </w:rPr>
        <w:t>2</w:t>
      </w:r>
      <w:r w:rsidRPr="00CE15A6">
        <w:rPr>
          <w:lang w:val="en-US"/>
        </w:rPr>
        <w:t>O (528 eV)</w:t>
      </w:r>
      <w:r w:rsidR="00F740D4">
        <w:rPr>
          <w:lang w:val="en-US"/>
        </w:rPr>
        <w:t xml:space="preserve"> and an increased amount of C</w:t>
      </w:r>
      <w:r w:rsidR="00F740D4" w:rsidRPr="00F740D4">
        <w:rPr>
          <w:lang w:val="en-US"/>
        </w:rPr>
        <w:t>–O</w:t>
      </w:r>
      <w:r w:rsidR="00F740D4">
        <w:rPr>
          <w:lang w:val="en-US"/>
        </w:rPr>
        <w:t xml:space="preserve"> resonance (533</w:t>
      </w:r>
      <w:r w:rsidR="00F740D4" w:rsidRPr="00F740D4">
        <w:rPr>
          <w:lang w:val="en-US"/>
        </w:rPr>
        <w:t>–</w:t>
      </w:r>
      <w:r w:rsidR="00F740D4">
        <w:rPr>
          <w:lang w:val="en-US"/>
        </w:rPr>
        <w:t>534 eV)</w:t>
      </w:r>
      <w:r w:rsidRPr="00CE15A6">
        <w:rPr>
          <w:lang w:val="en-US"/>
        </w:rPr>
        <w:t>.</w:t>
      </w:r>
      <w:r w:rsidR="00D74FE0">
        <w:rPr>
          <w:lang w:val="en-US"/>
        </w:rPr>
        <w:t xml:space="preserve"> </w:t>
      </w:r>
      <w:r w:rsidR="00F740D4">
        <w:rPr>
          <w:lang w:val="en-US"/>
        </w:rPr>
        <w:t>Furthermore,</w:t>
      </w:r>
      <w:r w:rsidRPr="00CE15A6">
        <w:rPr>
          <w:lang w:val="en-US"/>
        </w:rPr>
        <w:t xml:space="preserve"> F</w:t>
      </w:r>
      <w:r w:rsidRPr="00CE15A6">
        <w:rPr>
          <w:vertAlign w:val="subscript"/>
          <w:lang w:val="en-US"/>
        </w:rPr>
        <w:t>x</w:t>
      </w:r>
      <w:r w:rsidRPr="00CE15A6">
        <w:rPr>
          <w:lang w:val="en-US"/>
        </w:rPr>
        <w:t>P</w:t>
      </w:r>
      <w:r w:rsidRPr="00CE15A6">
        <w:rPr>
          <w:vertAlign w:val="subscript"/>
          <w:lang w:val="en-US"/>
        </w:rPr>
        <w:t>y</w:t>
      </w:r>
      <w:r w:rsidR="001710F7">
        <w:rPr>
          <w:lang w:val="en-US"/>
        </w:rPr>
        <w:t xml:space="preserve"> (687 eV) and </w:t>
      </w:r>
      <w:r w:rsidR="00F740D4" w:rsidRPr="00CE15A6">
        <w:rPr>
          <w:lang w:val="en-US"/>
        </w:rPr>
        <w:t>F</w:t>
      </w:r>
      <w:r w:rsidR="00F740D4" w:rsidRPr="00CE15A6">
        <w:rPr>
          <w:vertAlign w:val="subscript"/>
          <w:lang w:val="en-US"/>
        </w:rPr>
        <w:t>x</w:t>
      </w:r>
      <w:r w:rsidR="00F740D4" w:rsidRPr="00CE15A6">
        <w:rPr>
          <w:lang w:val="en-US"/>
        </w:rPr>
        <w:t>P</w:t>
      </w:r>
      <w:r w:rsidR="00F740D4" w:rsidRPr="00CE15A6">
        <w:rPr>
          <w:vertAlign w:val="subscript"/>
          <w:lang w:val="en-US"/>
        </w:rPr>
        <w:t>y</w:t>
      </w:r>
      <w:r w:rsidR="00F740D4" w:rsidRPr="00CE15A6">
        <w:rPr>
          <w:lang w:val="en-US"/>
        </w:rPr>
        <w:t>O</w:t>
      </w:r>
      <w:r w:rsidR="00F740D4" w:rsidRPr="00CE15A6">
        <w:rPr>
          <w:vertAlign w:val="subscript"/>
          <w:lang w:val="en-US"/>
        </w:rPr>
        <w:t>z</w:t>
      </w:r>
      <w:r w:rsidR="00F740D4" w:rsidRPr="00CE15A6">
        <w:rPr>
          <w:lang w:val="en-US"/>
        </w:rPr>
        <w:t xml:space="preserve"> </w:t>
      </w:r>
      <w:r w:rsidR="00F740D4">
        <w:rPr>
          <w:lang w:val="en-US"/>
        </w:rPr>
        <w:t xml:space="preserve">(688 eV) </w:t>
      </w:r>
      <w:r w:rsidR="001710F7">
        <w:rPr>
          <w:lang w:val="en-US"/>
        </w:rPr>
        <w:t>are detected in varying abundance on</w:t>
      </w:r>
      <w:r w:rsidR="00D74FE0">
        <w:rPr>
          <w:lang w:val="en-US"/>
        </w:rPr>
        <w:t xml:space="preserve"> </w:t>
      </w:r>
      <w:r w:rsidR="001710F7">
        <w:rPr>
          <w:lang w:val="en-US"/>
        </w:rPr>
        <w:t xml:space="preserve">the pSEIs and are likely caused by </w:t>
      </w:r>
      <w:r w:rsidR="00D74FE0">
        <w:rPr>
          <w:lang w:val="en-US"/>
        </w:rPr>
        <w:t>LiPF</w:t>
      </w:r>
      <w:r w:rsidR="00D74FE0">
        <w:rPr>
          <w:vertAlign w:val="subscript"/>
          <w:lang w:val="en-US"/>
        </w:rPr>
        <w:t>6</w:t>
      </w:r>
      <w:r w:rsidR="00E10E29">
        <w:rPr>
          <w:vertAlign w:val="subscript"/>
          <w:lang w:val="en-US"/>
        </w:rPr>
        <w:t xml:space="preserve"> </w:t>
      </w:r>
      <w:r w:rsidR="00E10E29" w:rsidRPr="00E10E29">
        <w:rPr>
          <w:lang w:val="en-US"/>
        </w:rPr>
        <w:t>decomposition</w:t>
      </w:r>
      <w:r w:rsidR="00146C90" w:rsidRPr="00146C90">
        <w:rPr>
          <w:noProof/>
          <w:lang w:val="en-US"/>
        </w:rPr>
        <w:t>[51]</w:t>
      </w:r>
      <w:r w:rsidRPr="00CE15A6">
        <w:rPr>
          <w:lang w:val="en-US"/>
        </w:rPr>
        <w:t xml:space="preserve">. </w:t>
      </w:r>
      <w:r w:rsidR="00BD37A2">
        <w:rPr>
          <w:lang w:val="en-US"/>
        </w:rPr>
        <w:t>Overall</w:t>
      </w:r>
      <w:r w:rsidRPr="00CE15A6">
        <w:rPr>
          <w:lang w:val="en-US"/>
        </w:rPr>
        <w:t>,</w:t>
      </w:r>
      <w:r w:rsidR="0007296C">
        <w:rPr>
          <w:lang w:val="en-US"/>
        </w:rPr>
        <w:t xml:space="preserve"> the</w:t>
      </w:r>
      <w:r w:rsidRPr="00CE15A6">
        <w:rPr>
          <w:lang w:val="en-US"/>
        </w:rPr>
        <w:t xml:space="preserve"> </w:t>
      </w:r>
      <w:r w:rsidR="009E0E3C" w:rsidRPr="00CE15A6">
        <w:rPr>
          <w:lang w:val="en-US"/>
        </w:rPr>
        <w:t xml:space="preserve">performed </w:t>
      </w:r>
      <w:r w:rsidRPr="00CE15A6">
        <w:rPr>
          <w:lang w:val="en-US"/>
        </w:rPr>
        <w:t xml:space="preserve">XPS measurements reveal that the </w:t>
      </w:r>
      <w:r w:rsidR="0007296C">
        <w:rPr>
          <w:lang w:val="en-US"/>
        </w:rPr>
        <w:t xml:space="preserve">chemical composition of a pSEI is very different to the one of the </w:t>
      </w:r>
      <w:r w:rsidR="003F3C0F">
        <w:rPr>
          <w:lang w:val="en-US"/>
        </w:rPr>
        <w:t>NPL</w:t>
      </w:r>
      <w:r w:rsidR="0007296C">
        <w:rPr>
          <w:lang w:val="en-US"/>
        </w:rPr>
        <w:t xml:space="preserve"> covering pLi. </w:t>
      </w:r>
      <w:r w:rsidR="008973EB" w:rsidRPr="0007296C">
        <w:rPr>
          <w:bCs/>
          <w:lang w:val="en-US"/>
        </w:rPr>
        <w:t>The</w:t>
      </w:r>
      <w:r w:rsidR="008973EB" w:rsidRPr="00CE15A6">
        <w:rPr>
          <w:bCs/>
          <w:lang w:val="en-US"/>
        </w:rPr>
        <w:t xml:space="preserve"> often </w:t>
      </w:r>
      <w:r w:rsidR="00BD37A2">
        <w:rPr>
          <w:bCs/>
          <w:lang w:val="en-US"/>
        </w:rPr>
        <w:t xml:space="preserve">in literature </w:t>
      </w:r>
      <w:r w:rsidR="008973EB" w:rsidRPr="00CE15A6">
        <w:rPr>
          <w:bCs/>
          <w:lang w:val="en-US"/>
        </w:rPr>
        <w:t>described poly-VC signals (C1s, 293 eV)</w:t>
      </w:r>
      <w:r w:rsidR="00146C90" w:rsidRPr="00146C90">
        <w:rPr>
          <w:bCs/>
          <w:noProof/>
          <w:lang w:val="en-US"/>
        </w:rPr>
        <w:t>[45,52]</w:t>
      </w:r>
      <w:r w:rsidR="008973EB" w:rsidRPr="00CE15A6">
        <w:rPr>
          <w:bCs/>
          <w:lang w:val="en-US"/>
        </w:rPr>
        <w:t xml:space="preserve"> </w:t>
      </w:r>
      <w:r w:rsidR="006102D4">
        <w:rPr>
          <w:bCs/>
          <w:lang w:val="en-US"/>
        </w:rPr>
        <w:t>are</w:t>
      </w:r>
      <w:r w:rsidR="006102D4" w:rsidRPr="00CE15A6">
        <w:rPr>
          <w:bCs/>
          <w:lang w:val="en-US"/>
        </w:rPr>
        <w:t xml:space="preserve"> not</w:t>
      </w:r>
      <w:r w:rsidR="008973EB" w:rsidRPr="00CE15A6">
        <w:rPr>
          <w:bCs/>
          <w:lang w:val="en-US"/>
        </w:rPr>
        <w:t xml:space="preserve"> observed in any of the recorded XPS spectra.</w:t>
      </w:r>
      <w:r w:rsidR="001710F7">
        <w:rPr>
          <w:bCs/>
          <w:lang w:val="en-US"/>
        </w:rPr>
        <w:t xml:space="preserve"> Combining morphological and chemical analys</w:t>
      </w:r>
      <w:r w:rsidR="00BD37A2">
        <w:rPr>
          <w:bCs/>
          <w:lang w:val="en-US"/>
        </w:rPr>
        <w:t>e</w:t>
      </w:r>
      <w:r w:rsidR="001710F7">
        <w:rPr>
          <w:bCs/>
          <w:lang w:val="en-US"/>
        </w:rPr>
        <w:t>s, it can be concluded that an as</w:t>
      </w:r>
      <w:r w:rsidR="001710F7">
        <w:rPr>
          <w:bCs/>
          <w:lang w:val="en-US"/>
        </w:rPr>
        <w:noBreakHyphen/>
        <w:t xml:space="preserve">defined pSEI is a significantly different surface layers compared to a NPL. The following electrochemical and </w:t>
      </w:r>
      <w:r w:rsidR="001710F7">
        <w:rPr>
          <w:bCs/>
          <w:i/>
          <w:lang w:val="en-US"/>
        </w:rPr>
        <w:t>post mortem</w:t>
      </w:r>
      <w:r w:rsidR="001710F7">
        <w:rPr>
          <w:bCs/>
          <w:lang w:val="en-US"/>
        </w:rPr>
        <w:t xml:space="preserve"> analysis will focus on the different impact of NPL and pSEIs and the different performances of BE, AE</w:t>
      </w:r>
      <w:r w:rsidR="001710F7">
        <w:rPr>
          <w:bCs/>
          <w:lang w:val="en-US"/>
        </w:rPr>
        <w:noBreakHyphen/>
        <w:t>VC and AE</w:t>
      </w:r>
      <w:r w:rsidR="001710F7">
        <w:rPr>
          <w:bCs/>
          <w:lang w:val="en-US"/>
        </w:rPr>
        <w:noBreakHyphen/>
        <w:t>FEC</w:t>
      </w:r>
      <w:r w:rsidR="00E10E29">
        <w:rPr>
          <w:bCs/>
          <w:lang w:val="en-US"/>
        </w:rPr>
        <w:t xml:space="preserve"> electrolytes</w:t>
      </w:r>
      <w:r w:rsidR="001710F7">
        <w:rPr>
          <w:bCs/>
          <w:lang w:val="en-US"/>
        </w:rPr>
        <w:t>.</w:t>
      </w:r>
    </w:p>
    <w:p w14:paraId="3F60C357" w14:textId="77777777" w:rsidR="009F7253" w:rsidRPr="00CE15A6" w:rsidRDefault="009F7253" w:rsidP="00733D79">
      <w:pPr>
        <w:jc w:val="both"/>
        <w:rPr>
          <w:rFonts w:ascii="Times New Roman" w:hAnsi="Times New Roman" w:cs="Times New Roman"/>
          <w:sz w:val="24"/>
          <w:szCs w:val="24"/>
          <w:lang w:val="en-US"/>
        </w:rPr>
      </w:pPr>
      <w:r w:rsidRPr="00CE15A6">
        <w:rPr>
          <w:rFonts w:ascii="Times New Roman" w:hAnsi="Times New Roman" w:cs="Times New Roman"/>
          <w:sz w:val="24"/>
          <w:szCs w:val="24"/>
          <w:lang w:val="en-US"/>
        </w:rPr>
        <w:br w:type="page"/>
      </w:r>
    </w:p>
    <w:p w14:paraId="099A968D" w14:textId="77777777" w:rsidR="00AF2261" w:rsidRPr="00CE15A6" w:rsidRDefault="00AF2261" w:rsidP="009F2841">
      <w:pPr>
        <w:pStyle w:val="MT1"/>
      </w:pPr>
      <w:r w:rsidRPr="00CE15A6">
        <w:lastRenderedPageBreak/>
        <w:t>Electrochemical evaluation</w:t>
      </w:r>
    </w:p>
    <w:p w14:paraId="0A8E4B6F" w14:textId="3DFA0B04" w:rsidR="00AF2261" w:rsidRPr="00CE15A6" w:rsidRDefault="00AF2261" w:rsidP="009F2841">
      <w:pPr>
        <w:pStyle w:val="MT2"/>
      </w:pPr>
      <w:r w:rsidRPr="00CE15A6">
        <w:t>Stripping</w:t>
      </w:r>
      <w:r w:rsidR="009A1E65" w:rsidRPr="00CE15A6">
        <w:t>/</w:t>
      </w:r>
      <w:r w:rsidRPr="00CE15A6">
        <w:t>plating experiments</w:t>
      </w:r>
    </w:p>
    <w:p w14:paraId="0FF09B3F" w14:textId="6322EBAB" w:rsidR="00AF2261" w:rsidRPr="00CE15A6" w:rsidRDefault="00AF2261" w:rsidP="00AC10DD">
      <w:pPr>
        <w:pStyle w:val="Beschriftung"/>
        <w:rPr>
          <w:lang w:val="en-US"/>
        </w:rPr>
      </w:pPr>
      <w:r w:rsidRPr="00CE15A6">
        <w:rPr>
          <w:lang w:val="en-US"/>
        </w:rPr>
        <w:t xml:space="preserve">The </w:t>
      </w:r>
      <w:r w:rsidR="009A1E65" w:rsidRPr="00CE15A6">
        <w:rPr>
          <w:lang w:val="en-US"/>
        </w:rPr>
        <w:t>four</w:t>
      </w:r>
      <w:r w:rsidRPr="00CE15A6">
        <w:rPr>
          <w:lang w:val="en-US"/>
        </w:rPr>
        <w:t xml:space="preserve"> different lithium metal electrodes (pLi, BE@Li, AE</w:t>
      </w:r>
      <w:r w:rsidRPr="00CE15A6">
        <w:rPr>
          <w:lang w:val="en-US"/>
        </w:rPr>
        <w:noBreakHyphen/>
        <w:t>VC@Li</w:t>
      </w:r>
      <w:r w:rsidR="009A1E65" w:rsidRPr="00CE15A6">
        <w:rPr>
          <w:lang w:val="en-US"/>
        </w:rPr>
        <w:t>, AE</w:t>
      </w:r>
      <w:r w:rsidR="009A1E65" w:rsidRPr="00CE15A6">
        <w:rPr>
          <w:lang w:val="en-US"/>
        </w:rPr>
        <w:noBreakHyphen/>
        <w:t>FEC@Li</w:t>
      </w:r>
      <w:r w:rsidRPr="00CE15A6">
        <w:rPr>
          <w:lang w:val="en-US"/>
        </w:rPr>
        <w:t>) were electrochemically characterized in a Li||Li symmetric cell setup (denoted as electrode×electrolyte</w:t>
      </w:r>
      <w:r w:rsidRPr="00CE15A6">
        <w:rPr>
          <w:rStyle w:val="Kommentarzeichen"/>
          <w:lang w:val="en-US"/>
        </w:rPr>
        <w:t>)</w:t>
      </w:r>
      <w:r w:rsidRPr="00CE15A6">
        <w:rPr>
          <w:lang w:val="en-US"/>
        </w:rPr>
        <w:t xml:space="preserve">, in an attempt to diminish influential factors by excluding cathode and the resulting </w:t>
      </w:r>
      <w:r w:rsidRPr="00CE15A6">
        <w:rPr>
          <w:i/>
          <w:lang w:val="en-US"/>
        </w:rPr>
        <w:t>in cell</w:t>
      </w:r>
      <w:r w:rsidRPr="00CE15A6">
        <w:rPr>
          <w:lang w:val="en-US"/>
        </w:rPr>
        <w:t xml:space="preserve"> crosstalk.</w:t>
      </w:r>
      <w:r w:rsidR="006C6A5D" w:rsidRPr="006C6A5D">
        <w:rPr>
          <w:noProof/>
          <w:lang w:val="en-US"/>
        </w:rPr>
        <w:t>[53,54]</w:t>
      </w:r>
      <w:r w:rsidRPr="00CE15A6">
        <w:rPr>
          <w:lang w:val="en-US"/>
        </w:rPr>
        <w:t xml:space="preserve"> All stripping/plating experiments were conducted at a current density of 0.5 mA cm</w:t>
      </w:r>
      <w:r w:rsidRPr="00CE15A6">
        <w:rPr>
          <w:vertAlign w:val="superscript"/>
          <w:lang w:val="en-US"/>
        </w:rPr>
        <w:t>-2</w:t>
      </w:r>
      <w:r w:rsidRPr="00CE15A6">
        <w:rPr>
          <w:lang w:val="en-US"/>
        </w:rPr>
        <w:t xml:space="preserve"> for one hour of charge and discharge</w:t>
      </w:r>
      <w:r w:rsidR="004C7EF2" w:rsidRPr="00CE15A6">
        <w:rPr>
          <w:lang w:val="en-US"/>
        </w:rPr>
        <w:t xml:space="preserve"> (s</w:t>
      </w:r>
      <w:r w:rsidR="00D0733F" w:rsidRPr="00CE15A6">
        <w:rPr>
          <w:lang w:val="en-US"/>
        </w:rPr>
        <w:t>tripping/</w:t>
      </w:r>
      <w:r w:rsidR="004C7EF2" w:rsidRPr="00CE15A6">
        <w:rPr>
          <w:lang w:val="en-US"/>
        </w:rPr>
        <w:t>plating)</w:t>
      </w:r>
      <w:r w:rsidRPr="00CE15A6">
        <w:rPr>
          <w:lang w:val="en-US"/>
        </w:rPr>
        <w:t xml:space="preserve"> until cell failure. </w:t>
      </w:r>
      <w:r w:rsidR="006E7B8C">
        <w:rPr>
          <w:lang w:val="en-US"/>
        </w:rPr>
        <w:t>Six</w:t>
      </w:r>
      <w:r w:rsidRPr="00CE15A6">
        <w:rPr>
          <w:lang w:val="en-US"/>
        </w:rPr>
        <w:t xml:space="preserve"> different cell setups were </w:t>
      </w:r>
      <w:r w:rsidR="00BD37A2">
        <w:rPr>
          <w:lang w:val="en-US"/>
        </w:rPr>
        <w:t>assembled</w:t>
      </w:r>
      <w:r w:rsidR="00BD37A2" w:rsidRPr="00CE15A6">
        <w:rPr>
          <w:lang w:val="en-US"/>
        </w:rPr>
        <w:t xml:space="preserve"> </w:t>
      </w:r>
      <w:r w:rsidRPr="00CE15A6">
        <w:rPr>
          <w:lang w:val="en-US"/>
        </w:rPr>
        <w:t xml:space="preserve">to evaluate the influence on cell lifetime and overvoltage profiles of the </w:t>
      </w:r>
      <w:r w:rsidR="003F3C0F">
        <w:rPr>
          <w:lang w:val="en-US"/>
        </w:rPr>
        <w:t>NPL</w:t>
      </w:r>
      <w:r w:rsidRPr="00CE15A6">
        <w:rPr>
          <w:lang w:val="en-US"/>
        </w:rPr>
        <w:t xml:space="preserve"> as well as the diffe</w:t>
      </w:r>
      <w:r w:rsidR="004F61AB" w:rsidRPr="00CE15A6">
        <w:rPr>
          <w:lang w:val="en-US"/>
        </w:rPr>
        <w:t>rences caused by the functional additives in AE</w:t>
      </w:r>
      <w:r w:rsidR="004F61AB" w:rsidRPr="00CE15A6">
        <w:rPr>
          <w:lang w:val="en-US"/>
        </w:rPr>
        <w:noBreakHyphen/>
        <w:t>VC and AE</w:t>
      </w:r>
      <w:r w:rsidR="004F61AB" w:rsidRPr="00CE15A6">
        <w:rPr>
          <w:lang w:val="en-US"/>
        </w:rPr>
        <w:noBreakHyphen/>
        <w:t xml:space="preserve">FEC </w:t>
      </w:r>
      <w:r w:rsidR="00BD37A2">
        <w:rPr>
          <w:lang w:val="en-US"/>
        </w:rPr>
        <w:t xml:space="preserve">relative to </w:t>
      </w:r>
      <w:r w:rsidRPr="00CE15A6">
        <w:rPr>
          <w:lang w:val="en-US"/>
        </w:rPr>
        <w:t>BE (</w:t>
      </w:r>
      <w:r w:rsidR="00AC10DD" w:rsidRPr="00AC10DD">
        <w:rPr>
          <w:lang w:val="en-US"/>
        </w:rPr>
        <w:t xml:space="preserve">Fig. </w:t>
      </w:r>
      <w:r w:rsidR="00AC10DD" w:rsidRPr="00AC10DD">
        <w:rPr>
          <w:noProof/>
          <w:lang w:val="en-US"/>
        </w:rPr>
        <w:t>5</w:t>
      </w:r>
      <w:r w:rsidRPr="00CE15A6">
        <w:rPr>
          <w:lang w:val="en-US"/>
        </w:rPr>
        <w:t xml:space="preserve">): pLi was combined with </w:t>
      </w:r>
      <w:r w:rsidR="004F61AB" w:rsidRPr="00CE15A6">
        <w:rPr>
          <w:lang w:val="en-US"/>
        </w:rPr>
        <w:t>all three</w:t>
      </w:r>
      <w:r w:rsidRPr="00CE15A6">
        <w:rPr>
          <w:lang w:val="en-US"/>
        </w:rPr>
        <w:t xml:space="preserve"> electrolytes (</w:t>
      </w:r>
      <w:r w:rsidR="004F61AB" w:rsidRPr="00CE15A6">
        <w:rPr>
          <w:lang w:val="en-US"/>
        </w:rPr>
        <w:t xml:space="preserve">pLi×BE, </w:t>
      </w:r>
      <w:r w:rsidRPr="00CE15A6">
        <w:rPr>
          <w:lang w:val="en-US"/>
        </w:rPr>
        <w:t>pLi×AE</w:t>
      </w:r>
      <w:r w:rsidR="004F61AB" w:rsidRPr="00CE15A6">
        <w:rPr>
          <w:lang w:val="en-US"/>
        </w:rPr>
        <w:noBreakHyphen/>
      </w:r>
      <w:r w:rsidRPr="00CE15A6">
        <w:rPr>
          <w:lang w:val="en-US"/>
        </w:rPr>
        <w:t>VC, pLi×</w:t>
      </w:r>
      <w:r w:rsidR="004F61AB" w:rsidRPr="00CE15A6">
        <w:rPr>
          <w:lang w:val="en-US"/>
        </w:rPr>
        <w:t>AE-FEC</w:t>
      </w:r>
      <w:r w:rsidRPr="00CE15A6">
        <w:rPr>
          <w:lang w:val="en-US"/>
        </w:rPr>
        <w:t>) and the pre</w:t>
      </w:r>
      <w:r w:rsidR="00A12CB5">
        <w:rPr>
          <w:lang w:val="en-US"/>
        </w:rPr>
        <w:noBreakHyphen/>
      </w:r>
      <w:r w:rsidRPr="00CE15A6">
        <w:rPr>
          <w:lang w:val="en-US"/>
        </w:rPr>
        <w:t>treated electrodes were combined with their respective electrolytes (BE@Li×BE, AE</w:t>
      </w:r>
      <w:r w:rsidR="002E5DCA" w:rsidRPr="00CE15A6">
        <w:rPr>
          <w:lang w:val="en-US"/>
        </w:rPr>
        <w:noBreakHyphen/>
      </w:r>
      <w:r w:rsidRPr="00CE15A6">
        <w:rPr>
          <w:lang w:val="en-US"/>
        </w:rPr>
        <w:t>VC@Li×AE</w:t>
      </w:r>
      <w:r w:rsidR="002E5DCA" w:rsidRPr="00CE15A6">
        <w:rPr>
          <w:lang w:val="en-US"/>
        </w:rPr>
        <w:noBreakHyphen/>
      </w:r>
      <w:r w:rsidRPr="00CE15A6">
        <w:rPr>
          <w:lang w:val="en-US"/>
        </w:rPr>
        <w:t>VC</w:t>
      </w:r>
      <w:r w:rsidR="004F61AB" w:rsidRPr="00CE15A6">
        <w:rPr>
          <w:lang w:val="en-US"/>
        </w:rPr>
        <w:t>, AE</w:t>
      </w:r>
      <w:r w:rsidR="002E5DCA" w:rsidRPr="00CE15A6">
        <w:rPr>
          <w:lang w:val="en-US"/>
        </w:rPr>
        <w:noBreakHyphen/>
      </w:r>
      <w:r w:rsidR="004F61AB" w:rsidRPr="00CE15A6">
        <w:rPr>
          <w:lang w:val="en-US"/>
        </w:rPr>
        <w:t>FEC@Li×AE</w:t>
      </w:r>
      <w:r w:rsidR="002E5DCA" w:rsidRPr="00CE15A6">
        <w:rPr>
          <w:lang w:val="en-US"/>
        </w:rPr>
        <w:noBreakHyphen/>
      </w:r>
      <w:r w:rsidR="004F61AB" w:rsidRPr="00CE15A6">
        <w:rPr>
          <w:lang w:val="en-US"/>
        </w:rPr>
        <w:t>FEC</w:t>
      </w:r>
      <w:r w:rsidRPr="00CE15A6">
        <w:rPr>
          <w:lang w:val="en-US"/>
        </w:rPr>
        <w:t>).</w:t>
      </w:r>
    </w:p>
    <w:p w14:paraId="2C5A3044" w14:textId="00D227E3" w:rsidR="00AC10DD" w:rsidRDefault="00732638" w:rsidP="00AC10DD">
      <w:pPr>
        <w:keepNext/>
        <w:tabs>
          <w:tab w:val="left" w:pos="7088"/>
        </w:tabs>
        <w:jc w:val="both"/>
      </w:pPr>
      <w:r w:rsidRPr="00732638">
        <w:rPr>
          <w:noProof/>
          <w:lang w:eastAsia="de-DE"/>
        </w:rPr>
        <w:drawing>
          <wp:inline distT="0" distB="0" distL="0" distR="0" wp14:anchorId="0BF415B2" wp14:editId="54A49629">
            <wp:extent cx="5760720" cy="4742199"/>
            <wp:effectExtent l="0" t="0" r="0" b="1270"/>
            <wp:docPr id="12" name="Grafik 12" descr="M:\Gruppen\Flüssigelektrolyte\_PROJECTS\LILLINT\Paper\Pretreatment-Method-Paper\Figures\Fig5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Gruppen\Flüssigelektrolyte\_PROJECTS\LILLINT\Paper\Pretreatment-Method-Paper\Figures\Fig5_HR.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742199"/>
                    </a:xfrm>
                    <a:prstGeom prst="rect">
                      <a:avLst/>
                    </a:prstGeom>
                    <a:noFill/>
                    <a:ln>
                      <a:noFill/>
                    </a:ln>
                  </pic:spPr>
                </pic:pic>
              </a:graphicData>
            </a:graphic>
          </wp:inline>
        </w:drawing>
      </w:r>
    </w:p>
    <w:p w14:paraId="092F4D6E" w14:textId="6A2DD8D8" w:rsidR="00AF2261" w:rsidRPr="00CE15A6" w:rsidRDefault="00AC10DD" w:rsidP="00AC10DD">
      <w:pPr>
        <w:pStyle w:val="Untertitel"/>
      </w:pPr>
      <w:bookmarkStart w:id="6" w:name="_Ref104291181"/>
      <w:r w:rsidRPr="00AC10DD">
        <w:t xml:space="preserve">Fig. </w:t>
      </w:r>
      <w:r w:rsidR="007160F2">
        <w:rPr>
          <w:noProof/>
        </w:rPr>
        <w:t>5</w:t>
      </w:r>
      <w:bookmarkEnd w:id="6"/>
      <w:r w:rsidRPr="00AC10DD">
        <w:t>.</w:t>
      </w:r>
      <w:r w:rsidR="00AF2261" w:rsidRPr="00CE15A6">
        <w:t xml:space="preserve"> </w:t>
      </w:r>
      <w:r w:rsidR="00C21E89">
        <w:t xml:space="preserve">Voltage </w:t>
      </w:r>
      <w:r w:rsidR="00BD37A2">
        <w:t xml:space="preserve">vs. time </w:t>
      </w:r>
      <w:r w:rsidR="00C21E89">
        <w:t xml:space="preserve">profiles </w:t>
      </w:r>
      <w:r w:rsidR="00AF2261" w:rsidRPr="00CE15A6">
        <w:t>(0.5</w:t>
      </w:r>
      <w:r w:rsidR="004F61AB" w:rsidRPr="00CE15A6">
        <w:t> </w:t>
      </w:r>
      <w:r w:rsidR="00AF2261" w:rsidRPr="00CE15A6">
        <w:t>mA cm</w:t>
      </w:r>
      <w:r w:rsidR="00AF2261" w:rsidRPr="00CE15A6">
        <w:rPr>
          <w:vertAlign w:val="superscript"/>
        </w:rPr>
        <w:t>-2</w:t>
      </w:r>
      <w:r w:rsidR="00AF2261" w:rsidRPr="00CE15A6">
        <w:t>, 1</w:t>
      </w:r>
      <w:r w:rsidR="004F61AB" w:rsidRPr="00CE15A6">
        <w:t> </w:t>
      </w:r>
      <w:r w:rsidR="00AF2261" w:rsidRPr="00CE15A6">
        <w:t xml:space="preserve">h charge and discharge) </w:t>
      </w:r>
      <w:r>
        <w:t xml:space="preserve">of </w:t>
      </w:r>
      <w:r w:rsidR="0008691F">
        <w:t>six</w:t>
      </w:r>
      <w:r w:rsidR="00AF2261" w:rsidRPr="00CE15A6">
        <w:t xml:space="preserve"> different cell </w:t>
      </w:r>
      <w:r w:rsidR="004F61AB" w:rsidRPr="00CE15A6">
        <w:t>s</w:t>
      </w:r>
      <w:r w:rsidR="00AF2261" w:rsidRPr="00CE15A6">
        <w:t>etups</w:t>
      </w:r>
      <w:r w:rsidR="007160F2">
        <w:t>. In</w:t>
      </w:r>
      <w:r w:rsidR="00D876F2">
        <w:t>s</w:t>
      </w:r>
      <w:r w:rsidR="007160F2">
        <w:t>e</w:t>
      </w:r>
      <w:r w:rsidR="00D876F2">
        <w:t>r</w:t>
      </w:r>
      <w:r w:rsidR="007160F2">
        <w:t>ts: Zoomed in data.</w:t>
      </w:r>
      <w:r w:rsidR="00AF2261" w:rsidRPr="00CE15A6">
        <w:t xml:space="preserve"> a) pLi×AE-VC – gray, pLi×BE – dark red</w:t>
      </w:r>
      <w:r w:rsidR="004F61AB" w:rsidRPr="00CE15A6">
        <w:t>, pLi×AE</w:t>
      </w:r>
      <w:r w:rsidR="004F61AB" w:rsidRPr="00CE15A6">
        <w:noBreakHyphen/>
        <w:t>FEC – dark blue</w:t>
      </w:r>
      <w:r w:rsidR="00AF2261" w:rsidRPr="00CE15A6">
        <w:t>; b) AE-VC@Li×AE-VC – black; BE@Li×BE – red</w:t>
      </w:r>
      <w:r w:rsidR="004F61AB" w:rsidRPr="00CE15A6">
        <w:t>; AE-FEC@Li×AE</w:t>
      </w:r>
      <w:r w:rsidR="004F61AB" w:rsidRPr="00CE15A6">
        <w:noBreakHyphen/>
        <w:t>FEC</w:t>
      </w:r>
      <w:r w:rsidR="00124F8F" w:rsidRPr="00CE15A6">
        <w:t xml:space="preserve"> – light blue</w:t>
      </w:r>
      <w:r w:rsidR="00AF2261" w:rsidRPr="00CE15A6">
        <w:t>.</w:t>
      </w:r>
    </w:p>
    <w:p w14:paraId="206E95FB" w14:textId="4D972C8F" w:rsidR="00393CB1" w:rsidRPr="00CE15A6" w:rsidRDefault="00FA6169" w:rsidP="00B51561">
      <w:pPr>
        <w:pStyle w:val="Beschriftung"/>
        <w:rPr>
          <w:lang w:val="en-US"/>
        </w:rPr>
      </w:pPr>
      <w:r>
        <w:rPr>
          <w:lang w:val="en-US"/>
        </w:rPr>
        <w:t xml:space="preserve">Comparing the three electrolytes against the reference </w:t>
      </w:r>
      <w:r w:rsidR="00BD37A2">
        <w:rPr>
          <w:lang w:val="en-US"/>
        </w:rPr>
        <w:t xml:space="preserve">material </w:t>
      </w:r>
      <w:r>
        <w:rPr>
          <w:lang w:val="en-US"/>
        </w:rPr>
        <w:t>pLi (</w:t>
      </w:r>
      <w:r w:rsidR="007160F2" w:rsidRPr="007160F2">
        <w:rPr>
          <w:lang w:val="en-US"/>
        </w:rPr>
        <w:t xml:space="preserve">Fig. </w:t>
      </w:r>
      <w:r w:rsidR="007160F2" w:rsidRPr="007160F2">
        <w:rPr>
          <w:noProof/>
          <w:lang w:val="en-US"/>
        </w:rPr>
        <w:t>5</w:t>
      </w:r>
      <w:r w:rsidR="007160F2">
        <w:rPr>
          <w:lang w:val="en-US"/>
        </w:rPr>
        <w:t xml:space="preserve"> a)</w:t>
      </w:r>
      <w:r>
        <w:rPr>
          <w:lang w:val="en-US"/>
        </w:rPr>
        <w:t>, covered by a NPL</w:t>
      </w:r>
      <w:r w:rsidR="00BD37A2">
        <w:rPr>
          <w:lang w:val="en-US"/>
        </w:rPr>
        <w:t>,</w:t>
      </w:r>
      <w:r>
        <w:rPr>
          <w:lang w:val="en-US"/>
        </w:rPr>
        <w:t xml:space="preserve"> </w:t>
      </w:r>
      <w:r w:rsidR="0018535D">
        <w:rPr>
          <w:lang w:val="en-US"/>
        </w:rPr>
        <w:t xml:space="preserve">there is </w:t>
      </w:r>
      <w:r>
        <w:rPr>
          <w:lang w:val="en-US"/>
        </w:rPr>
        <w:t xml:space="preserve">no </w:t>
      </w:r>
      <w:r w:rsidR="00BD37A2">
        <w:rPr>
          <w:lang w:val="en-US"/>
        </w:rPr>
        <w:t xml:space="preserve">notable </w:t>
      </w:r>
      <w:r>
        <w:rPr>
          <w:lang w:val="en-US"/>
        </w:rPr>
        <w:t xml:space="preserve">difference </w:t>
      </w:r>
      <w:r w:rsidR="007160F2">
        <w:rPr>
          <w:lang w:val="en-US"/>
        </w:rPr>
        <w:t xml:space="preserve">in lifetime until the predefined cell death at ±0.3 V </w:t>
      </w:r>
      <w:r>
        <w:rPr>
          <w:lang w:val="en-US"/>
        </w:rPr>
        <w:t xml:space="preserve">between </w:t>
      </w:r>
      <w:r w:rsidRPr="00CE15A6">
        <w:rPr>
          <w:lang w:val="en-US"/>
        </w:rPr>
        <w:t>pLi×BE</w:t>
      </w:r>
      <w:r w:rsidR="007160F2">
        <w:rPr>
          <w:lang w:val="en-US"/>
        </w:rPr>
        <w:t xml:space="preserve"> (dark red) and pLi</w:t>
      </w:r>
      <w:r w:rsidR="007160F2" w:rsidRPr="00CE15A6">
        <w:rPr>
          <w:lang w:val="en-US"/>
        </w:rPr>
        <w:t>×</w:t>
      </w:r>
      <w:r w:rsidR="007160F2">
        <w:rPr>
          <w:lang w:val="en-US"/>
        </w:rPr>
        <w:t>AE</w:t>
      </w:r>
      <w:r w:rsidR="007160F2">
        <w:rPr>
          <w:lang w:val="en-US"/>
        </w:rPr>
        <w:noBreakHyphen/>
        <w:t>VC (</w:t>
      </w:r>
      <w:r w:rsidR="00CE2383">
        <w:rPr>
          <w:lang w:val="en-US"/>
        </w:rPr>
        <w:t xml:space="preserve">gray, </w:t>
      </w:r>
      <w:r w:rsidR="007160F2">
        <w:rPr>
          <w:lang w:val="en-US"/>
        </w:rPr>
        <w:t>800 h), however, pLi</w:t>
      </w:r>
      <w:r w:rsidR="007160F2" w:rsidRPr="00CE15A6">
        <w:rPr>
          <w:lang w:val="en-US"/>
        </w:rPr>
        <w:t>×</w:t>
      </w:r>
      <w:r w:rsidR="007160F2">
        <w:rPr>
          <w:lang w:val="en-US"/>
        </w:rPr>
        <w:t>AE</w:t>
      </w:r>
      <w:r w:rsidR="007160F2">
        <w:rPr>
          <w:lang w:val="en-US"/>
        </w:rPr>
        <w:noBreakHyphen/>
        <w:t>FEC</w:t>
      </w:r>
      <w:r w:rsidR="00CE2383">
        <w:rPr>
          <w:lang w:val="en-US"/>
        </w:rPr>
        <w:t xml:space="preserve"> (dark blue)</w:t>
      </w:r>
      <w:r w:rsidR="007160F2">
        <w:rPr>
          <w:lang w:val="en-US"/>
        </w:rPr>
        <w:t xml:space="preserve"> allows for a longer </w:t>
      </w:r>
      <w:r w:rsidR="006D22FB">
        <w:rPr>
          <w:lang w:val="en-US"/>
        </w:rPr>
        <w:t xml:space="preserve">cycle </w:t>
      </w:r>
      <w:r w:rsidR="007160F2">
        <w:rPr>
          <w:lang w:val="en-US"/>
        </w:rPr>
        <w:t>lifetime (1075 h). A more staggering difference is observed for the overvoltage values/profiles of the first 300 h, as pLi</w:t>
      </w:r>
      <w:r w:rsidR="007160F2" w:rsidRPr="00CE15A6">
        <w:rPr>
          <w:lang w:val="en-US"/>
        </w:rPr>
        <w:t>×</w:t>
      </w:r>
      <w:r w:rsidR="007160F2">
        <w:rPr>
          <w:lang w:val="en-US"/>
        </w:rPr>
        <w:t>AE</w:t>
      </w:r>
      <w:r w:rsidR="007160F2">
        <w:rPr>
          <w:lang w:val="en-US"/>
        </w:rPr>
        <w:noBreakHyphen/>
        <w:t>VC generates the highest and pLi</w:t>
      </w:r>
      <w:r w:rsidR="007160F2" w:rsidRPr="00CE15A6">
        <w:rPr>
          <w:lang w:val="en-US"/>
        </w:rPr>
        <w:t>×</w:t>
      </w:r>
      <w:r w:rsidR="007160F2">
        <w:rPr>
          <w:lang w:val="en-US"/>
        </w:rPr>
        <w:t>AE</w:t>
      </w:r>
      <w:r w:rsidR="007160F2">
        <w:rPr>
          <w:lang w:val="en-US"/>
        </w:rPr>
        <w:noBreakHyphen/>
        <w:t xml:space="preserve">FEC the lowest overvoltages values. </w:t>
      </w:r>
      <w:r w:rsidR="000F7F67">
        <w:rPr>
          <w:lang w:val="en-US"/>
        </w:rPr>
        <w:t>The decrease in overvoltage, e.g. in case of pLi×BE over the first 200 h, indicates a step</w:t>
      </w:r>
      <w:r w:rsidR="006D22FB">
        <w:rPr>
          <w:lang w:val="en-US"/>
        </w:rPr>
        <w:t>-</w:t>
      </w:r>
      <w:r w:rsidR="000F7F67">
        <w:rPr>
          <w:lang w:val="en-US"/>
        </w:rPr>
        <w:t>by</w:t>
      </w:r>
      <w:r w:rsidR="006D22FB">
        <w:rPr>
          <w:lang w:val="en-US"/>
        </w:rPr>
        <w:t>-</w:t>
      </w:r>
      <w:r w:rsidR="000F7F67">
        <w:rPr>
          <w:lang w:val="en-US"/>
        </w:rPr>
        <w:t xml:space="preserve">step replacement of the NPL by an </w:t>
      </w:r>
      <w:r w:rsidR="000F7F67">
        <w:rPr>
          <w:i/>
          <w:lang w:val="en-US"/>
        </w:rPr>
        <w:t xml:space="preserve">in </w:t>
      </w:r>
      <w:r w:rsidR="000F7F67" w:rsidRPr="000F7F67">
        <w:rPr>
          <w:lang w:val="en-US"/>
        </w:rPr>
        <w:t>situ</w:t>
      </w:r>
      <w:r w:rsidR="000F7F67">
        <w:rPr>
          <w:lang w:val="en-US"/>
        </w:rPr>
        <w:t xml:space="preserve"> formed SEI. </w:t>
      </w:r>
      <w:r w:rsidR="007160F2" w:rsidRPr="000F7F67">
        <w:rPr>
          <w:lang w:val="en-US"/>
        </w:rPr>
        <w:t>A</w:t>
      </w:r>
      <w:r w:rsidR="007160F2">
        <w:rPr>
          <w:lang w:val="en-US"/>
        </w:rPr>
        <w:t xml:space="preserve"> zoomed in few </w:t>
      </w:r>
      <w:r w:rsidR="00B51561">
        <w:rPr>
          <w:lang w:val="en-US"/>
        </w:rPr>
        <w:t>on</w:t>
      </w:r>
      <w:r w:rsidR="00A12CB5">
        <w:rPr>
          <w:lang w:val="en-US"/>
        </w:rPr>
        <w:t>to</w:t>
      </w:r>
      <w:r w:rsidR="00B51561">
        <w:rPr>
          <w:lang w:val="en-US"/>
        </w:rPr>
        <w:t xml:space="preserve"> the individual cycles (</w:t>
      </w:r>
      <w:r w:rsidR="0018535D">
        <w:rPr>
          <w:lang w:val="en-US"/>
        </w:rPr>
        <w:t>in</w:t>
      </w:r>
      <w:r w:rsidR="006D22FB">
        <w:rPr>
          <w:lang w:val="en-US"/>
        </w:rPr>
        <w:t>se</w:t>
      </w:r>
      <w:r w:rsidR="00D876F2">
        <w:rPr>
          <w:lang w:val="en-US"/>
        </w:rPr>
        <w:t>r</w:t>
      </w:r>
      <w:r w:rsidR="006D22FB">
        <w:rPr>
          <w:lang w:val="en-US"/>
        </w:rPr>
        <w:t>t</w:t>
      </w:r>
      <w:r w:rsidR="0018535D">
        <w:rPr>
          <w:lang w:val="en-US"/>
        </w:rPr>
        <w:t xml:space="preserve"> in </w:t>
      </w:r>
      <w:r w:rsidR="00B51561" w:rsidRPr="00B51561">
        <w:rPr>
          <w:lang w:val="en-US"/>
        </w:rPr>
        <w:t xml:space="preserve">Fig. </w:t>
      </w:r>
      <w:r w:rsidR="00B51561" w:rsidRPr="00B51561">
        <w:rPr>
          <w:noProof/>
          <w:lang w:val="en-US"/>
        </w:rPr>
        <w:t>5</w:t>
      </w:r>
      <w:r w:rsidR="00B51561">
        <w:rPr>
          <w:lang w:val="en-US"/>
        </w:rPr>
        <w:t xml:space="preserve">) reveals differences in size and shape of the overvoltage profiles, which </w:t>
      </w:r>
      <w:r w:rsidR="00393CB1" w:rsidRPr="00CE15A6">
        <w:rPr>
          <w:lang w:val="en-US"/>
        </w:rPr>
        <w:t>indicate a different stripping</w:t>
      </w:r>
      <w:r w:rsidR="002F15FD" w:rsidRPr="00CE15A6">
        <w:rPr>
          <w:lang w:val="en-US"/>
        </w:rPr>
        <w:t>/plating behavior.</w:t>
      </w:r>
      <w:r w:rsidR="006C6A5D" w:rsidRPr="006C6A5D">
        <w:rPr>
          <w:noProof/>
          <w:lang w:val="en-US"/>
        </w:rPr>
        <w:t>[55]</w:t>
      </w:r>
      <w:r w:rsidR="00CE2383">
        <w:rPr>
          <w:lang w:val="en-US"/>
        </w:rPr>
        <w:t xml:space="preserve"> </w:t>
      </w:r>
      <w:r w:rsidR="002F15FD" w:rsidRPr="00CE15A6">
        <w:rPr>
          <w:lang w:val="en-US"/>
        </w:rPr>
        <w:t xml:space="preserve">To the best of our knowledge, a comparison of </w:t>
      </w:r>
      <w:r w:rsidR="00C21E89">
        <w:rPr>
          <w:lang w:val="en-US"/>
        </w:rPr>
        <w:t xml:space="preserve">functional </w:t>
      </w:r>
      <w:r w:rsidR="002F15FD" w:rsidRPr="00CE15A6">
        <w:rPr>
          <w:lang w:val="en-US"/>
        </w:rPr>
        <w:t>additives based on equal molar ratio has not been done in literature</w:t>
      </w:r>
      <w:r w:rsidR="0018535D">
        <w:rPr>
          <w:lang w:val="en-US"/>
        </w:rPr>
        <w:t xml:space="preserve"> so far</w:t>
      </w:r>
      <w:r w:rsidR="002F15FD" w:rsidRPr="00CE15A6">
        <w:rPr>
          <w:lang w:val="en-US"/>
        </w:rPr>
        <w:t xml:space="preserve">. This </w:t>
      </w:r>
      <w:r w:rsidR="00124F8F" w:rsidRPr="00CE15A6">
        <w:rPr>
          <w:lang w:val="en-US"/>
        </w:rPr>
        <w:t>first time comparison reveals the upside off FEC o</w:t>
      </w:r>
      <w:r w:rsidR="00CE2383">
        <w:rPr>
          <w:lang w:val="en-US"/>
        </w:rPr>
        <w:t>ver VC in combination with a pLi electrode, as FEC shows an improvement over the baseline (BE), both in overvoltage and lifetime, whereas the VC application shows no improvement in lifetime and overvoltage profile.</w:t>
      </w:r>
    </w:p>
    <w:p w14:paraId="570BF2D5" w14:textId="181F949A" w:rsidR="009023BC" w:rsidRPr="00CE15A6" w:rsidRDefault="00CE2383" w:rsidP="000F7F67">
      <w:pPr>
        <w:pStyle w:val="Beschriftung"/>
        <w:rPr>
          <w:lang w:val="en-US"/>
        </w:rPr>
      </w:pPr>
      <w:r>
        <w:rPr>
          <w:lang w:val="en-US"/>
        </w:rPr>
        <w:lastRenderedPageBreak/>
        <w:t>Removing the NPL and implementing a pSEI enables the evaluation of the NPL</w:t>
      </w:r>
      <w:r w:rsidR="00D876F2">
        <w:rPr>
          <w:lang w:val="en-US"/>
        </w:rPr>
        <w:t>’</w:t>
      </w:r>
      <w:r>
        <w:rPr>
          <w:lang w:val="en-US"/>
        </w:rPr>
        <w:t xml:space="preserve">s impact on the </w:t>
      </w:r>
      <w:r w:rsidR="000F7F67">
        <w:rPr>
          <w:i/>
          <w:lang w:val="en-US"/>
        </w:rPr>
        <w:t>in situ</w:t>
      </w:r>
      <w:r w:rsidR="000F7F67">
        <w:rPr>
          <w:lang w:val="en-US"/>
        </w:rPr>
        <w:t xml:space="preserve"> formed mixed</w:t>
      </w:r>
      <w:r>
        <w:rPr>
          <w:lang w:val="en-US"/>
        </w:rPr>
        <w:t xml:space="preserve"> SEI. Comparing pLi×BE and BE@Li×BE</w:t>
      </w:r>
      <w:r w:rsidR="00183305">
        <w:rPr>
          <w:lang w:val="en-US"/>
        </w:rPr>
        <w:t xml:space="preserve"> (</w:t>
      </w:r>
      <w:r w:rsidR="00183305" w:rsidRPr="00183305">
        <w:rPr>
          <w:lang w:val="en-US"/>
        </w:rPr>
        <w:t xml:space="preserve">Fig. </w:t>
      </w:r>
      <w:r w:rsidR="00183305" w:rsidRPr="00183305">
        <w:rPr>
          <w:noProof/>
          <w:lang w:val="en-US"/>
        </w:rPr>
        <w:t>5</w:t>
      </w:r>
      <w:r w:rsidR="00183305">
        <w:rPr>
          <w:lang w:val="en-US"/>
        </w:rPr>
        <w:t xml:space="preserve"> b, red)</w:t>
      </w:r>
      <w:r>
        <w:rPr>
          <w:lang w:val="en-US"/>
        </w:rPr>
        <w:t xml:space="preserve"> </w:t>
      </w:r>
      <w:r w:rsidR="00183305">
        <w:rPr>
          <w:lang w:val="en-US"/>
        </w:rPr>
        <w:t xml:space="preserve">reveals that the NPL will increase the overvoltage profile but also enhance the cell </w:t>
      </w:r>
      <w:r w:rsidR="000862D3">
        <w:rPr>
          <w:lang w:val="en-US"/>
        </w:rPr>
        <w:t>lifetime</w:t>
      </w:r>
      <w:r w:rsidR="00183305">
        <w:rPr>
          <w:lang w:val="en-US"/>
        </w:rPr>
        <w:t xml:space="preserve">. The </w:t>
      </w:r>
      <w:r w:rsidR="00FA1AA6">
        <w:rPr>
          <w:lang w:val="en-US"/>
        </w:rPr>
        <w:t>constant</w:t>
      </w:r>
      <w:r w:rsidR="00183305">
        <w:rPr>
          <w:lang w:val="en-US"/>
        </w:rPr>
        <w:t xml:space="preserve"> increase in overvoltage </w:t>
      </w:r>
      <w:r w:rsidR="00FA1AA6">
        <w:rPr>
          <w:lang w:val="en-US"/>
        </w:rPr>
        <w:t>of BE@Li×BE indicates an ongoing consumption of BE because the BE-based pSEI is believed to be less chemically inert.</w:t>
      </w:r>
      <w:r w:rsidR="006C6A5D" w:rsidRPr="006C6A5D">
        <w:rPr>
          <w:noProof/>
          <w:lang w:val="en-US"/>
        </w:rPr>
        <w:t>[56]</w:t>
      </w:r>
      <w:r w:rsidR="00FA1AA6">
        <w:rPr>
          <w:lang w:val="en-US"/>
        </w:rPr>
        <w:t xml:space="preserve"> AE</w:t>
      </w:r>
      <w:r w:rsidR="00FA1AA6">
        <w:rPr>
          <w:lang w:val="en-US"/>
        </w:rPr>
        <w:noBreakHyphen/>
        <w:t>VC@Li×AE</w:t>
      </w:r>
      <w:r w:rsidR="00FA1AA6">
        <w:rPr>
          <w:lang w:val="en-US"/>
        </w:rPr>
        <w:noBreakHyphen/>
        <w:t>VC (black) does not show significant improvements over its NPL containing analog, whereas the implementation of FEC (AE</w:t>
      </w:r>
      <w:r w:rsidR="00FA1AA6">
        <w:rPr>
          <w:lang w:val="en-US"/>
        </w:rPr>
        <w:noBreakHyphen/>
        <w:t>FEC@Li×AE</w:t>
      </w:r>
      <w:r w:rsidR="00FA1AA6">
        <w:rPr>
          <w:lang w:val="en-US"/>
        </w:rPr>
        <w:noBreakHyphen/>
        <w:t xml:space="preserve">FEC, light blue) results in </w:t>
      </w:r>
      <w:r w:rsidR="00D876F2">
        <w:rPr>
          <w:lang w:val="en-US"/>
        </w:rPr>
        <w:t xml:space="preserve">both, </w:t>
      </w:r>
      <w:r w:rsidR="00FA1AA6">
        <w:rPr>
          <w:lang w:val="en-US"/>
        </w:rPr>
        <w:t>a longer lifetime (1320 h</w:t>
      </w:r>
      <w:r w:rsidR="00344096">
        <w:rPr>
          <w:lang w:val="en-US"/>
        </w:rPr>
        <w:t>) and reduced overvoltage values. Looking at the individual cycles (</w:t>
      </w:r>
      <w:r w:rsidR="00344096" w:rsidRPr="00344096">
        <w:rPr>
          <w:lang w:val="en-US"/>
        </w:rPr>
        <w:t xml:space="preserve">Fig. </w:t>
      </w:r>
      <w:r w:rsidR="00344096" w:rsidRPr="00344096">
        <w:rPr>
          <w:noProof/>
          <w:lang w:val="en-US"/>
        </w:rPr>
        <w:t>5</w:t>
      </w:r>
      <w:r w:rsidR="00344096">
        <w:rPr>
          <w:lang w:val="en-US"/>
        </w:rPr>
        <w:t xml:space="preserve"> b, in</w:t>
      </w:r>
      <w:r w:rsidR="00D876F2">
        <w:rPr>
          <w:lang w:val="en-US"/>
        </w:rPr>
        <w:t>s</w:t>
      </w:r>
      <w:r w:rsidR="00344096">
        <w:rPr>
          <w:lang w:val="en-US"/>
        </w:rPr>
        <w:t>ets) reveals that the NPL removal results in an almost square overvoltage shape</w:t>
      </w:r>
      <w:r w:rsidR="000F7F67">
        <w:rPr>
          <w:lang w:val="en-US"/>
        </w:rPr>
        <w:t xml:space="preserve"> for BE@Li×BE and AE</w:t>
      </w:r>
      <w:r w:rsidR="000F7F67">
        <w:rPr>
          <w:lang w:val="en-US"/>
        </w:rPr>
        <w:noBreakHyphen/>
        <w:t>FEC@Li×AE</w:t>
      </w:r>
      <w:r w:rsidR="000F7F67">
        <w:rPr>
          <w:lang w:val="en-US"/>
        </w:rPr>
        <w:noBreakHyphen/>
        <w:t>FEC</w:t>
      </w:r>
      <w:r w:rsidR="00344096">
        <w:rPr>
          <w:lang w:val="en-US"/>
        </w:rPr>
        <w:t>, which does indicate a homogeneous stripping/plating behavior.</w:t>
      </w:r>
      <w:r w:rsidR="006C6A5D" w:rsidRPr="006C6A5D">
        <w:rPr>
          <w:noProof/>
          <w:lang w:val="en-US"/>
        </w:rPr>
        <w:t>[55]</w:t>
      </w:r>
      <w:r w:rsidR="000F7F67">
        <w:rPr>
          <w:lang w:val="en-US"/>
        </w:rPr>
        <w:t xml:space="preserve"> The higher overvoltage values of AE-VC@Li×AE</w:t>
      </w:r>
      <w:r w:rsidR="000F7F67">
        <w:rPr>
          <w:lang w:val="en-US"/>
        </w:rPr>
        <w:noBreakHyphen/>
        <w:t>VC on the other hand are indication</w:t>
      </w:r>
      <w:r w:rsidR="00D876F2">
        <w:rPr>
          <w:lang w:val="en-US"/>
        </w:rPr>
        <w:t>s</w:t>
      </w:r>
      <w:r w:rsidR="000F7F67">
        <w:rPr>
          <w:lang w:val="en-US"/>
        </w:rPr>
        <w:t xml:space="preserve"> for a more resistive passivation layer.</w:t>
      </w:r>
    </w:p>
    <w:p w14:paraId="7F73E662" w14:textId="43DADD74" w:rsidR="00AF2261" w:rsidRPr="00AC10DD" w:rsidRDefault="00AF2261" w:rsidP="00AC10DD">
      <w:pPr>
        <w:pStyle w:val="Beschriftung"/>
        <w:rPr>
          <w:lang w:val="en-US"/>
        </w:rPr>
      </w:pPr>
      <w:r w:rsidRPr="00CE15A6">
        <w:rPr>
          <w:lang w:val="en-US"/>
        </w:rPr>
        <w:t>Based on the analysis of the conducted stripping/plating experiments</w:t>
      </w:r>
      <w:r w:rsidR="00A36244" w:rsidRPr="00CE15A6">
        <w:rPr>
          <w:lang w:val="en-US"/>
        </w:rPr>
        <w:t xml:space="preserve">, </w:t>
      </w:r>
      <w:r w:rsidRPr="00CE15A6">
        <w:rPr>
          <w:lang w:val="en-US"/>
        </w:rPr>
        <w:t xml:space="preserve">the </w:t>
      </w:r>
      <w:r w:rsidR="006376C1">
        <w:rPr>
          <w:lang w:val="en-US"/>
        </w:rPr>
        <w:t>following preliminary hypothesis are made for further targeted analysis</w:t>
      </w:r>
      <w:r w:rsidRPr="00CE15A6">
        <w:rPr>
          <w:lang w:val="en-US"/>
        </w:rPr>
        <w:t xml:space="preserve">: 1) The </w:t>
      </w:r>
      <w:r w:rsidR="003F3C0F">
        <w:rPr>
          <w:lang w:val="en-US"/>
        </w:rPr>
        <w:t>NPL</w:t>
      </w:r>
      <w:r w:rsidRPr="00CE15A6">
        <w:rPr>
          <w:lang w:val="en-US"/>
        </w:rPr>
        <w:t xml:space="preserve"> is a barrier which results in higher overvoltages and is replaced by </w:t>
      </w:r>
      <w:r w:rsidR="00CE136E">
        <w:rPr>
          <w:lang w:val="en-US"/>
        </w:rPr>
        <w:t>an</w:t>
      </w:r>
      <w:r w:rsidRPr="00CE15A6">
        <w:rPr>
          <w:lang w:val="en-US"/>
        </w:rPr>
        <w:t xml:space="preserve"> </w:t>
      </w:r>
      <w:r w:rsidR="00344096">
        <w:rPr>
          <w:i/>
          <w:lang w:val="en-US"/>
        </w:rPr>
        <w:t xml:space="preserve">in situ </w:t>
      </w:r>
      <w:r w:rsidR="00344096">
        <w:rPr>
          <w:lang w:val="en-US"/>
        </w:rPr>
        <w:t>formed</w:t>
      </w:r>
      <w:r w:rsidRPr="00CE15A6">
        <w:rPr>
          <w:lang w:val="en-US"/>
        </w:rPr>
        <w:t xml:space="preserve"> SEI </w:t>
      </w:r>
      <w:r w:rsidR="00CE136E">
        <w:rPr>
          <w:lang w:val="en-US"/>
        </w:rPr>
        <w:t xml:space="preserve">based on </w:t>
      </w:r>
      <w:r w:rsidR="00CE136E" w:rsidRPr="00CE15A6">
        <w:rPr>
          <w:lang w:val="en-US"/>
        </w:rPr>
        <w:t xml:space="preserve">electrolyte </w:t>
      </w:r>
      <w:r w:rsidR="00CE136E">
        <w:rPr>
          <w:lang w:val="en-US"/>
        </w:rPr>
        <w:t>decomposition product</w:t>
      </w:r>
      <w:r w:rsidRPr="00CE15A6">
        <w:rPr>
          <w:lang w:val="en-US"/>
        </w:rPr>
        <w:t xml:space="preserve">. 2) </w:t>
      </w:r>
      <w:r w:rsidR="001E618D" w:rsidRPr="00CE15A6">
        <w:rPr>
          <w:lang w:val="en-US"/>
        </w:rPr>
        <w:t xml:space="preserve">The presence of </w:t>
      </w:r>
      <w:r w:rsidRPr="00CE15A6">
        <w:rPr>
          <w:lang w:val="en-US"/>
        </w:rPr>
        <w:t xml:space="preserve">5wt% VC as a functional additive </w:t>
      </w:r>
      <w:r w:rsidR="001E618D" w:rsidRPr="00CE15A6">
        <w:rPr>
          <w:lang w:val="en-US"/>
        </w:rPr>
        <w:t xml:space="preserve">leads to the </w:t>
      </w:r>
      <w:r w:rsidRPr="00CE15A6">
        <w:rPr>
          <w:lang w:val="en-US"/>
        </w:rPr>
        <w:t>form</w:t>
      </w:r>
      <w:r w:rsidR="00264C7B" w:rsidRPr="00CE15A6">
        <w:rPr>
          <w:lang w:val="en-US"/>
        </w:rPr>
        <w:t xml:space="preserve">ation of </w:t>
      </w:r>
      <w:r w:rsidRPr="00CE15A6">
        <w:rPr>
          <w:lang w:val="en-US"/>
        </w:rPr>
        <w:t xml:space="preserve">a resistive passivation layer, </w:t>
      </w:r>
      <w:r w:rsidR="00AC10DD">
        <w:rPr>
          <w:lang w:val="en-US"/>
        </w:rPr>
        <w:t>both</w:t>
      </w:r>
      <w:r w:rsidRPr="00CE15A6">
        <w:rPr>
          <w:lang w:val="en-US"/>
        </w:rPr>
        <w:t xml:space="preserve"> as a pSEI </w:t>
      </w:r>
      <w:r w:rsidR="00AC10DD">
        <w:rPr>
          <w:lang w:val="en-US"/>
        </w:rPr>
        <w:t>and</w:t>
      </w:r>
      <w:r w:rsidRPr="00CE15A6">
        <w:rPr>
          <w:lang w:val="en-US"/>
        </w:rPr>
        <w:t xml:space="preserve"> during </w:t>
      </w:r>
      <w:r w:rsidRPr="00CE15A6">
        <w:rPr>
          <w:i/>
          <w:lang w:val="en-US"/>
        </w:rPr>
        <w:t>in situ</w:t>
      </w:r>
      <w:r w:rsidRPr="00CE15A6">
        <w:rPr>
          <w:lang w:val="en-US"/>
        </w:rPr>
        <w:t xml:space="preserve"> </w:t>
      </w:r>
      <w:r w:rsidR="00CE136E">
        <w:rPr>
          <w:lang w:val="en-US"/>
        </w:rPr>
        <w:t xml:space="preserve">SEI </w:t>
      </w:r>
      <w:r w:rsidRPr="00CE15A6">
        <w:rPr>
          <w:lang w:val="en-US"/>
        </w:rPr>
        <w:t>formation, which results in higher overvoltages</w:t>
      </w:r>
      <w:r w:rsidR="000F7F67">
        <w:rPr>
          <w:lang w:val="en-US"/>
        </w:rPr>
        <w:t xml:space="preserve"> and</w:t>
      </w:r>
      <w:r w:rsidR="001E618D" w:rsidRPr="00CE15A6">
        <w:rPr>
          <w:lang w:val="en-US"/>
        </w:rPr>
        <w:t xml:space="preserve"> </w:t>
      </w:r>
      <w:r w:rsidRPr="00CE15A6">
        <w:rPr>
          <w:lang w:val="en-US"/>
        </w:rPr>
        <w:t>i</w:t>
      </w:r>
      <w:r w:rsidR="001E618D" w:rsidRPr="00CE15A6">
        <w:rPr>
          <w:lang w:val="en-US"/>
        </w:rPr>
        <w:t>nhibits homogeneous stripping/</w:t>
      </w:r>
      <w:r w:rsidRPr="00CE15A6">
        <w:rPr>
          <w:lang w:val="en-US"/>
        </w:rPr>
        <w:t>plating. 3</w:t>
      </w:r>
      <w:r w:rsidR="001E618D" w:rsidRPr="00CE15A6">
        <w:rPr>
          <w:lang w:val="en-US"/>
        </w:rPr>
        <w:t>) The pSEI on BE@Li and AE</w:t>
      </w:r>
      <w:r w:rsidR="001E618D" w:rsidRPr="00CE15A6">
        <w:rPr>
          <w:lang w:val="en-US"/>
        </w:rPr>
        <w:noBreakHyphen/>
        <w:t xml:space="preserve">FEC@Li </w:t>
      </w:r>
      <w:r w:rsidRPr="00CE15A6">
        <w:rPr>
          <w:lang w:val="en-US"/>
        </w:rPr>
        <w:t>a</w:t>
      </w:r>
      <w:r w:rsidR="001E618D" w:rsidRPr="00CE15A6">
        <w:rPr>
          <w:lang w:val="en-US"/>
        </w:rPr>
        <w:t xml:space="preserve">llows for </w:t>
      </w:r>
      <w:r w:rsidR="00D876F2">
        <w:rPr>
          <w:lang w:val="en-US"/>
        </w:rPr>
        <w:t xml:space="preserve">a </w:t>
      </w:r>
      <w:r w:rsidR="001E618D" w:rsidRPr="00CE15A6">
        <w:rPr>
          <w:lang w:val="en-US"/>
        </w:rPr>
        <w:t>homogeneous stripping/</w:t>
      </w:r>
      <w:r w:rsidRPr="00CE15A6">
        <w:rPr>
          <w:lang w:val="en-US"/>
        </w:rPr>
        <w:t>plating behavior</w:t>
      </w:r>
      <w:r w:rsidR="00D876F2">
        <w:rPr>
          <w:lang w:val="en-US"/>
        </w:rPr>
        <w:t>;</w:t>
      </w:r>
      <w:r w:rsidR="001E618D" w:rsidRPr="00CE15A6">
        <w:rPr>
          <w:lang w:val="en-US"/>
        </w:rPr>
        <w:t xml:space="preserve"> </w:t>
      </w:r>
      <w:r w:rsidR="001D5CBC" w:rsidRPr="00CE15A6">
        <w:rPr>
          <w:lang w:val="en-US"/>
        </w:rPr>
        <w:t xml:space="preserve">the addition of FEC to the electrolyte results in </w:t>
      </w:r>
      <w:r w:rsidR="001E618D" w:rsidRPr="00CE15A6">
        <w:rPr>
          <w:lang w:val="en-US"/>
        </w:rPr>
        <w:t>a decreased electrolyte consumption</w:t>
      </w:r>
      <w:r w:rsidR="001D5CBC" w:rsidRPr="00CE15A6">
        <w:rPr>
          <w:lang w:val="en-US"/>
        </w:rPr>
        <w:t xml:space="preserve"> and subsequent longer lifetime</w:t>
      </w:r>
      <w:r w:rsidRPr="00CE15A6">
        <w:rPr>
          <w:lang w:val="en-US"/>
        </w:rPr>
        <w:t>.</w:t>
      </w:r>
      <w:r w:rsidR="00A36244" w:rsidRPr="00CE15A6">
        <w:rPr>
          <w:lang w:val="en-US"/>
        </w:rPr>
        <w:t xml:space="preserve"> 4) </w:t>
      </w:r>
      <w:r w:rsidR="000F7F67">
        <w:rPr>
          <w:lang w:val="en-US"/>
        </w:rPr>
        <w:t>Removing the</w:t>
      </w:r>
      <w:r w:rsidR="001E618D" w:rsidRPr="00CE15A6">
        <w:rPr>
          <w:lang w:val="en-US"/>
        </w:rPr>
        <w:t xml:space="preserve"> </w:t>
      </w:r>
      <w:r w:rsidR="003F3C0F">
        <w:rPr>
          <w:lang w:val="en-US"/>
        </w:rPr>
        <w:t>NPL</w:t>
      </w:r>
      <w:r w:rsidR="001E618D" w:rsidRPr="00CE15A6">
        <w:rPr>
          <w:lang w:val="en-US"/>
        </w:rPr>
        <w:t xml:space="preserve"> will differently impact the overall </w:t>
      </w:r>
      <w:r w:rsidR="00D876F2">
        <w:rPr>
          <w:lang w:val="en-US"/>
        </w:rPr>
        <w:t xml:space="preserve">cycle </w:t>
      </w:r>
      <w:r w:rsidR="001E618D" w:rsidRPr="00CE15A6">
        <w:rPr>
          <w:lang w:val="en-US"/>
        </w:rPr>
        <w:t xml:space="preserve">lifetime based on the </w:t>
      </w:r>
      <w:r w:rsidR="00D876F2">
        <w:rPr>
          <w:lang w:val="en-US"/>
        </w:rPr>
        <w:t>used</w:t>
      </w:r>
      <w:r w:rsidR="001E618D" w:rsidRPr="00CE15A6">
        <w:rPr>
          <w:lang w:val="en-US"/>
        </w:rPr>
        <w:t xml:space="preserve"> electrolyte</w:t>
      </w:r>
      <w:r w:rsidR="000F7F67">
        <w:rPr>
          <w:lang w:val="en-US"/>
        </w:rPr>
        <w:t xml:space="preserve"> (</w:t>
      </w:r>
      <w:r w:rsidR="00D876F2">
        <w:rPr>
          <w:lang w:val="en-US"/>
        </w:rPr>
        <w:t xml:space="preserve">shortening </w:t>
      </w:r>
      <w:r w:rsidR="000F7F67">
        <w:rPr>
          <w:lang w:val="en-US"/>
        </w:rPr>
        <w:t>in the case of BE and elongation in the case of A</w:t>
      </w:r>
      <w:r w:rsidR="006D41F6">
        <w:rPr>
          <w:lang w:val="en-US"/>
        </w:rPr>
        <w:t>E-</w:t>
      </w:r>
      <w:r w:rsidR="000F7F67">
        <w:rPr>
          <w:lang w:val="en-US"/>
        </w:rPr>
        <w:t>FEC)</w:t>
      </w:r>
      <w:r w:rsidR="006102D4">
        <w:rPr>
          <w:lang w:val="en-US"/>
        </w:rPr>
        <w:t xml:space="preserve">. </w:t>
      </w:r>
      <w:r w:rsidR="00D876F2">
        <w:rPr>
          <w:lang w:val="en-US"/>
        </w:rPr>
        <w:t>The NPL,</w:t>
      </w:r>
      <w:r w:rsidR="006102D4">
        <w:rPr>
          <w:lang w:val="en-US"/>
        </w:rPr>
        <w:t xml:space="preserve"> </w:t>
      </w:r>
      <w:r w:rsidR="00432BC3">
        <w:rPr>
          <w:lang w:val="en-US"/>
        </w:rPr>
        <w:t>however</w:t>
      </w:r>
      <w:r w:rsidR="006102D4">
        <w:rPr>
          <w:lang w:val="en-US"/>
        </w:rPr>
        <w:t xml:space="preserve">, will always </w:t>
      </w:r>
      <w:r w:rsidR="0073049B" w:rsidRPr="00CE15A6">
        <w:rPr>
          <w:lang w:val="en-US"/>
        </w:rPr>
        <w:t xml:space="preserve">have an </w:t>
      </w:r>
      <w:r w:rsidR="00720549">
        <w:rPr>
          <w:lang w:val="en-US"/>
        </w:rPr>
        <w:t>enlarging</w:t>
      </w:r>
      <w:r w:rsidR="00CE136E">
        <w:rPr>
          <w:lang w:val="en-US"/>
        </w:rPr>
        <w:t xml:space="preserve"> </w:t>
      </w:r>
      <w:r w:rsidR="0073049B" w:rsidRPr="00CE15A6">
        <w:rPr>
          <w:lang w:val="en-US"/>
        </w:rPr>
        <w:t xml:space="preserve">effect on the observed overvoltage values. 5) Comparing both the overvoltage </w:t>
      </w:r>
      <w:r w:rsidR="00720549">
        <w:rPr>
          <w:lang w:val="en-US"/>
        </w:rPr>
        <w:t xml:space="preserve">vs. time </w:t>
      </w:r>
      <w:r w:rsidR="0073049B" w:rsidRPr="00CE15A6">
        <w:rPr>
          <w:lang w:val="en-US"/>
        </w:rPr>
        <w:t xml:space="preserve">profiles and </w:t>
      </w:r>
      <w:r w:rsidR="00720549">
        <w:rPr>
          <w:lang w:val="en-US"/>
        </w:rPr>
        <w:t xml:space="preserve">the cycle </w:t>
      </w:r>
      <w:r w:rsidR="0073049B" w:rsidRPr="00CE15A6">
        <w:rPr>
          <w:lang w:val="en-US"/>
        </w:rPr>
        <w:t>lifetime</w:t>
      </w:r>
      <w:r w:rsidR="00720549">
        <w:rPr>
          <w:lang w:val="en-US"/>
        </w:rPr>
        <w:t>s</w:t>
      </w:r>
      <w:r w:rsidR="0073049B" w:rsidRPr="00CE15A6">
        <w:rPr>
          <w:lang w:val="en-US"/>
        </w:rPr>
        <w:t xml:space="preserve"> of </w:t>
      </w:r>
      <w:r w:rsidR="00720549">
        <w:rPr>
          <w:lang w:val="en-US"/>
        </w:rPr>
        <w:t xml:space="preserve">the </w:t>
      </w:r>
      <w:r w:rsidR="0073049B" w:rsidRPr="00CE15A6">
        <w:rPr>
          <w:lang w:val="en-US"/>
        </w:rPr>
        <w:t>AE</w:t>
      </w:r>
      <w:r w:rsidR="0073049B" w:rsidRPr="00CE15A6">
        <w:rPr>
          <w:lang w:val="en-US"/>
        </w:rPr>
        <w:noBreakHyphen/>
        <w:t>VC@Li</w:t>
      </w:r>
      <w:r w:rsidR="00AC10DD" w:rsidRPr="00CE15A6">
        <w:rPr>
          <w:lang w:val="en-US"/>
        </w:rPr>
        <w:t>×AE</w:t>
      </w:r>
      <w:r w:rsidR="00AC10DD" w:rsidRPr="00CE15A6">
        <w:rPr>
          <w:lang w:val="en-US"/>
        </w:rPr>
        <w:noBreakHyphen/>
        <w:t>VC</w:t>
      </w:r>
      <w:r w:rsidR="0073049B" w:rsidRPr="00CE15A6">
        <w:rPr>
          <w:lang w:val="en-US"/>
        </w:rPr>
        <w:t xml:space="preserve"> and AE</w:t>
      </w:r>
      <w:r w:rsidR="0073049B" w:rsidRPr="00CE15A6">
        <w:rPr>
          <w:lang w:val="en-US"/>
        </w:rPr>
        <w:noBreakHyphen/>
        <w:t>FEC@Li</w:t>
      </w:r>
      <w:r w:rsidR="00AC10DD">
        <w:rPr>
          <w:lang w:val="en-US"/>
        </w:rPr>
        <w:t>×AE</w:t>
      </w:r>
      <w:r w:rsidR="00AC10DD">
        <w:rPr>
          <w:lang w:val="en-US"/>
        </w:rPr>
        <w:noBreakHyphen/>
        <w:t>FEC</w:t>
      </w:r>
      <w:r w:rsidR="00432BC3">
        <w:rPr>
          <w:lang w:val="en-US"/>
        </w:rPr>
        <w:t xml:space="preserve"> setups</w:t>
      </w:r>
      <w:r w:rsidR="0073049B" w:rsidRPr="00CE15A6">
        <w:rPr>
          <w:lang w:val="en-US"/>
        </w:rPr>
        <w:t>, clearly show</w:t>
      </w:r>
      <w:r w:rsidR="00720549">
        <w:rPr>
          <w:lang w:val="en-US"/>
        </w:rPr>
        <w:t>s that</w:t>
      </w:r>
      <w:r w:rsidR="0073049B" w:rsidRPr="00CE15A6">
        <w:rPr>
          <w:lang w:val="en-US"/>
        </w:rPr>
        <w:t xml:space="preserve"> FEC </w:t>
      </w:r>
      <w:r w:rsidR="00720549">
        <w:rPr>
          <w:lang w:val="en-US"/>
        </w:rPr>
        <w:t>addition is creating</w:t>
      </w:r>
      <w:r w:rsidR="0073049B" w:rsidRPr="00CE15A6">
        <w:rPr>
          <w:lang w:val="en-US"/>
        </w:rPr>
        <w:t xml:space="preserve"> superior electrolyte</w:t>
      </w:r>
      <w:r w:rsidR="00720549">
        <w:rPr>
          <w:lang w:val="en-US"/>
        </w:rPr>
        <w:t>s</w:t>
      </w:r>
      <w:r w:rsidR="0073049B" w:rsidRPr="00CE15A6">
        <w:rPr>
          <w:lang w:val="en-US"/>
        </w:rPr>
        <w:t xml:space="preserve"> for lithium metal anodes</w:t>
      </w:r>
      <w:r w:rsidR="00A36244" w:rsidRPr="00CE15A6">
        <w:rPr>
          <w:lang w:val="en-US"/>
        </w:rPr>
        <w:t>.</w:t>
      </w:r>
      <w:r w:rsidR="009023BC" w:rsidRPr="00CE15A6">
        <w:rPr>
          <w:lang w:val="en-US"/>
        </w:rPr>
        <w:t xml:space="preserve"> </w:t>
      </w:r>
    </w:p>
    <w:p w14:paraId="1C5A4599" w14:textId="29614D69" w:rsidR="00AF2261" w:rsidRPr="00CE15A6" w:rsidRDefault="008E2385" w:rsidP="009F2841">
      <w:pPr>
        <w:pStyle w:val="MT2"/>
      </w:pPr>
      <w:r>
        <w:t>O</w:t>
      </w:r>
      <w:r w:rsidR="00AF2261" w:rsidRPr="00CE15A6">
        <w:t>perando EIS measurements</w:t>
      </w:r>
    </w:p>
    <w:p w14:paraId="424A5F9A" w14:textId="4E4B0F48" w:rsidR="00AF2261" w:rsidRPr="00CE15A6" w:rsidRDefault="00AF2261" w:rsidP="00AC10DD">
      <w:pPr>
        <w:pStyle w:val="Beschriftung"/>
        <w:rPr>
          <w:lang w:val="en-US"/>
        </w:rPr>
      </w:pPr>
      <w:r w:rsidRPr="00CE15A6">
        <w:rPr>
          <w:lang w:val="en-US"/>
        </w:rPr>
        <w:t>The differences in overvoltage</w:t>
      </w:r>
      <w:r w:rsidR="00A36244" w:rsidRPr="00CE15A6">
        <w:rPr>
          <w:lang w:val="en-US"/>
        </w:rPr>
        <w:t xml:space="preserve"> </w:t>
      </w:r>
      <w:r w:rsidR="002D1143">
        <w:rPr>
          <w:lang w:val="en-US"/>
        </w:rPr>
        <w:t xml:space="preserve">vs. time </w:t>
      </w:r>
      <w:r w:rsidR="00A36244" w:rsidRPr="00CE15A6">
        <w:rPr>
          <w:lang w:val="en-US"/>
        </w:rPr>
        <w:t>profiles</w:t>
      </w:r>
      <w:r w:rsidRPr="00CE15A6">
        <w:rPr>
          <w:lang w:val="en-US"/>
        </w:rPr>
        <w:t xml:space="preserve"> observed during the stripping</w:t>
      </w:r>
      <w:r w:rsidR="00987424" w:rsidRPr="00CE15A6">
        <w:rPr>
          <w:lang w:val="en-US"/>
        </w:rPr>
        <w:t>/</w:t>
      </w:r>
      <w:r w:rsidRPr="00CE15A6">
        <w:rPr>
          <w:lang w:val="en-US"/>
        </w:rPr>
        <w:t xml:space="preserve">plating experiments are believed to be caused by a </w:t>
      </w:r>
      <w:r w:rsidR="00A36244" w:rsidRPr="00CE15A6">
        <w:rPr>
          <w:lang w:val="en-US"/>
        </w:rPr>
        <w:t xml:space="preserve">differences </w:t>
      </w:r>
      <w:r w:rsidR="00987424" w:rsidRPr="00CE15A6">
        <w:rPr>
          <w:lang w:val="en-US"/>
        </w:rPr>
        <w:t xml:space="preserve">in resistance </w:t>
      </w:r>
      <w:r w:rsidR="00146C90">
        <w:rPr>
          <w:lang w:val="en-US"/>
        </w:rPr>
        <w:t>of</w:t>
      </w:r>
      <w:r w:rsidR="00A36244" w:rsidRPr="00CE15A6">
        <w:rPr>
          <w:lang w:val="en-US"/>
        </w:rPr>
        <w:t xml:space="preserve"> </w:t>
      </w:r>
      <w:r w:rsidRPr="00CE15A6">
        <w:rPr>
          <w:lang w:val="en-US"/>
        </w:rPr>
        <w:t xml:space="preserve">the </w:t>
      </w:r>
      <w:r w:rsidR="003F3C0F">
        <w:rPr>
          <w:lang w:val="en-US"/>
        </w:rPr>
        <w:t>NPL</w:t>
      </w:r>
      <w:r w:rsidRPr="00CE15A6">
        <w:rPr>
          <w:lang w:val="en-US"/>
        </w:rPr>
        <w:t xml:space="preserve"> </w:t>
      </w:r>
      <w:r w:rsidR="00987424" w:rsidRPr="00CE15A6">
        <w:rPr>
          <w:lang w:val="en-US"/>
        </w:rPr>
        <w:t>and/</w:t>
      </w:r>
      <w:r w:rsidR="00A36244" w:rsidRPr="00CE15A6">
        <w:rPr>
          <w:lang w:val="en-US"/>
        </w:rPr>
        <w:t xml:space="preserve">or </w:t>
      </w:r>
      <w:r w:rsidR="002D1143">
        <w:rPr>
          <w:lang w:val="en-US"/>
        </w:rPr>
        <w:t xml:space="preserve">the </w:t>
      </w:r>
      <w:r w:rsidRPr="00CE15A6">
        <w:rPr>
          <w:lang w:val="en-US"/>
        </w:rPr>
        <w:t>pSEI</w:t>
      </w:r>
      <w:r w:rsidR="00987424" w:rsidRPr="00CE15A6">
        <w:rPr>
          <w:lang w:val="en-US"/>
        </w:rPr>
        <w:t>s</w:t>
      </w:r>
      <w:r w:rsidRPr="00CE15A6">
        <w:rPr>
          <w:lang w:val="en-US"/>
        </w:rPr>
        <w:t xml:space="preserve">. This hypothesis is further </w:t>
      </w:r>
      <w:r w:rsidR="00B67B81">
        <w:rPr>
          <w:lang w:val="en-US"/>
        </w:rPr>
        <w:t>validated using</w:t>
      </w:r>
      <w:r w:rsidRPr="00CE15A6">
        <w:rPr>
          <w:lang w:val="en-US"/>
        </w:rPr>
        <w:t xml:space="preserve"> </w:t>
      </w:r>
      <w:r w:rsidR="008E2385">
        <w:rPr>
          <w:i/>
          <w:lang w:val="en-US"/>
        </w:rPr>
        <w:t xml:space="preserve">operando </w:t>
      </w:r>
      <w:r w:rsidRPr="00CE15A6">
        <w:rPr>
          <w:lang w:val="en-US"/>
        </w:rPr>
        <w:t xml:space="preserve">EIS measurements </w:t>
      </w:r>
      <w:r w:rsidR="00987424" w:rsidRPr="00CE15A6">
        <w:rPr>
          <w:lang w:val="en-US"/>
        </w:rPr>
        <w:t xml:space="preserve">in </w:t>
      </w:r>
      <w:r w:rsidRPr="00CE15A6">
        <w:rPr>
          <w:lang w:val="en-US"/>
        </w:rPr>
        <w:t xml:space="preserve">Li||Li symmetric cells under the same experimental conditions as </w:t>
      </w:r>
      <w:r w:rsidR="002D1143">
        <w:rPr>
          <w:lang w:val="en-US"/>
        </w:rPr>
        <w:t xml:space="preserve">for </w:t>
      </w:r>
      <w:r w:rsidRPr="00CE15A6">
        <w:rPr>
          <w:lang w:val="en-US"/>
        </w:rPr>
        <w:t>the stripping</w:t>
      </w:r>
      <w:r w:rsidR="00987424" w:rsidRPr="00CE15A6">
        <w:rPr>
          <w:lang w:val="en-US"/>
        </w:rPr>
        <w:t>/</w:t>
      </w:r>
      <w:r w:rsidR="00802A35" w:rsidRPr="00CE15A6">
        <w:rPr>
          <w:lang w:val="en-US"/>
        </w:rPr>
        <w:t>plating experiments</w:t>
      </w:r>
      <w:r w:rsidR="00AC10DD">
        <w:rPr>
          <w:lang w:val="en-US"/>
        </w:rPr>
        <w:t xml:space="preserve"> (</w:t>
      </w:r>
      <w:r w:rsidR="00AC10DD" w:rsidRPr="00AC10DD">
        <w:rPr>
          <w:lang w:val="en-US"/>
        </w:rPr>
        <w:t xml:space="preserve">Fig. </w:t>
      </w:r>
      <w:r w:rsidR="00AC10DD" w:rsidRPr="00AC10DD">
        <w:rPr>
          <w:noProof/>
          <w:lang w:val="en-US"/>
        </w:rPr>
        <w:t>7</w:t>
      </w:r>
      <w:r w:rsidR="00AC10DD">
        <w:rPr>
          <w:lang w:val="en-US"/>
        </w:rPr>
        <w:t>)</w:t>
      </w:r>
      <w:r w:rsidR="00802A35" w:rsidRPr="00CE15A6">
        <w:rPr>
          <w:lang w:val="en-US"/>
        </w:rPr>
        <w:t>.</w:t>
      </w:r>
      <w:r w:rsidRPr="00CE15A6">
        <w:rPr>
          <w:lang w:val="en-US"/>
        </w:rPr>
        <w:t xml:space="preserve"> </w:t>
      </w:r>
    </w:p>
    <w:p w14:paraId="31EFED54" w14:textId="321268E2" w:rsidR="00AC10DD" w:rsidRPr="008E2385" w:rsidRDefault="00732638" w:rsidP="00AC10DD">
      <w:pPr>
        <w:keepNext/>
        <w:jc w:val="both"/>
        <w:rPr>
          <w:lang w:val="en-US"/>
        </w:rPr>
      </w:pPr>
      <w:r w:rsidRPr="00732638">
        <w:rPr>
          <w:noProof/>
          <w:lang w:eastAsia="de-DE"/>
        </w:rPr>
        <w:drawing>
          <wp:inline distT="0" distB="0" distL="0" distR="0" wp14:anchorId="33C6776A" wp14:editId="02876AFB">
            <wp:extent cx="5760720" cy="3726944"/>
            <wp:effectExtent l="0" t="0" r="0" b="6985"/>
            <wp:docPr id="13" name="Grafik 13" descr="M:\Gruppen\Flüssigelektrolyte\_PROJECTS\LILLINT\Paper\Pretreatment-Method-Paper\Figures\Fig6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Gruppen\Flüssigelektrolyte\_PROJECTS\LILLINT\Paper\Pretreatment-Method-Paper\Figures\Fig6_HR.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726944"/>
                    </a:xfrm>
                    <a:prstGeom prst="rect">
                      <a:avLst/>
                    </a:prstGeom>
                    <a:noFill/>
                    <a:ln>
                      <a:noFill/>
                    </a:ln>
                  </pic:spPr>
                </pic:pic>
              </a:graphicData>
            </a:graphic>
          </wp:inline>
        </w:drawing>
      </w:r>
    </w:p>
    <w:p w14:paraId="227A7A5B" w14:textId="1020C63E" w:rsidR="00AF2261" w:rsidRPr="00AC10DD" w:rsidRDefault="00AC10DD" w:rsidP="00AC10DD">
      <w:pPr>
        <w:pStyle w:val="Untertitel"/>
      </w:pPr>
      <w:bookmarkStart w:id="7" w:name="_Ref104293525"/>
      <w:r w:rsidRPr="00AC10DD">
        <w:t xml:space="preserve">Fig. </w:t>
      </w:r>
      <w:r w:rsidR="007160F2">
        <w:rPr>
          <w:noProof/>
        </w:rPr>
        <w:t>6</w:t>
      </w:r>
      <w:bookmarkEnd w:id="7"/>
      <w:r w:rsidRPr="00AC10DD">
        <w:t>.</w:t>
      </w:r>
      <w:r w:rsidR="00AF2261" w:rsidRPr="00CE15A6">
        <w:t xml:space="preserve"> R</w:t>
      </w:r>
      <w:r w:rsidR="00AF2261" w:rsidRPr="00CE15A6">
        <w:rPr>
          <w:vertAlign w:val="subscript"/>
        </w:rPr>
        <w:t>SEI</w:t>
      </w:r>
      <w:r w:rsidR="00AF2261" w:rsidRPr="00CE15A6">
        <w:t xml:space="preserve"> values before (-12 h) and after (0 h) a 12 h rest step at OCV as well as after 10 h, 40 h and 100 h of </w:t>
      </w:r>
      <w:r w:rsidR="00DC2A7E" w:rsidRPr="00CE15A6">
        <w:t>stripping/plating</w:t>
      </w:r>
      <w:r w:rsidR="00AF2261" w:rsidRPr="00CE15A6">
        <w:t xml:space="preserve"> experiments (0.5 mA cm</w:t>
      </w:r>
      <w:r w:rsidR="00AF2261" w:rsidRPr="00CE15A6">
        <w:rPr>
          <w:vertAlign w:val="superscript"/>
        </w:rPr>
        <w:t>-2</w:t>
      </w:r>
      <w:r w:rsidR="00987424" w:rsidRPr="00CE15A6">
        <w:t>, 1 h stripping/</w:t>
      </w:r>
      <w:r w:rsidR="00AF2261" w:rsidRPr="00CE15A6">
        <w:t>plating</w:t>
      </w:r>
      <w:r w:rsidR="00AF2261" w:rsidRPr="00CE15A6">
        <w:rPr>
          <w:sz w:val="18"/>
        </w:rPr>
        <w:t>)</w:t>
      </w:r>
      <w:r w:rsidR="00AF2261" w:rsidRPr="00CE15A6">
        <w:t xml:space="preserve">, based on </w:t>
      </w:r>
      <w:r w:rsidR="00A36244" w:rsidRPr="00CE15A6">
        <w:t>Nyquist</w:t>
      </w:r>
      <w:r w:rsidR="00AF2261" w:rsidRPr="00CE15A6">
        <w:t xml:space="preserve"> plot fitted by the insert R</w:t>
      </w:r>
      <w:r w:rsidR="00AF2261" w:rsidRPr="00CE15A6">
        <w:noBreakHyphen/>
        <w:t xml:space="preserve">C equivalent circuit. Values depict an average of three </w:t>
      </w:r>
      <w:r w:rsidR="00AF2261" w:rsidRPr="00CE15A6">
        <w:lastRenderedPageBreak/>
        <w:t xml:space="preserve">measurements with the error corresponding to the standard deviation between the three measured values. See </w:t>
      </w:r>
      <w:r w:rsidR="00A36244" w:rsidRPr="00CE15A6">
        <w:t>SI</w:t>
      </w:r>
      <w:r w:rsidR="00AF2261" w:rsidRPr="00CE15A6">
        <w:t xml:space="preserve"> for exact values.</w:t>
      </w:r>
      <w:r w:rsidR="00987424" w:rsidRPr="00CE15A6">
        <w:t xml:space="preserve"> pLi×BE – dark red; pLi×AE</w:t>
      </w:r>
      <w:r w:rsidR="00987424" w:rsidRPr="00CE15A6">
        <w:noBreakHyphen/>
        <w:t>VC – gray, pLi×AE</w:t>
      </w:r>
      <w:r w:rsidR="00987424" w:rsidRPr="00CE15A6">
        <w:noBreakHyphen/>
        <w:t>FEC – dark blue, BE@Li×BE – red, AE</w:t>
      </w:r>
      <w:r w:rsidR="00987424" w:rsidRPr="00CE15A6">
        <w:noBreakHyphen/>
        <w:t>VC@Li×AE</w:t>
      </w:r>
      <w:r w:rsidR="00987424" w:rsidRPr="00CE15A6">
        <w:noBreakHyphen/>
        <w:t>VC – black, AE</w:t>
      </w:r>
      <w:r w:rsidR="00987424" w:rsidRPr="00CE15A6">
        <w:noBreakHyphen/>
        <w:t>FEC@Li×AE</w:t>
      </w:r>
      <w:r w:rsidR="00987424" w:rsidRPr="00CE15A6">
        <w:noBreakHyphen/>
        <w:t>FEC – light blue.</w:t>
      </w:r>
    </w:p>
    <w:p w14:paraId="7B0E3D0F" w14:textId="07754BE9" w:rsidR="00D93A61" w:rsidRDefault="002033E5" w:rsidP="00D93A61">
      <w:pPr>
        <w:pStyle w:val="Beschriftung"/>
        <w:rPr>
          <w:lang w:val="en-US"/>
        </w:rPr>
      </w:pPr>
      <w:r>
        <w:rPr>
          <w:lang w:val="en-US"/>
        </w:rPr>
        <w:t>A c</w:t>
      </w:r>
      <w:r w:rsidR="00521C62" w:rsidRPr="00CE15A6">
        <w:rPr>
          <w:lang w:val="en-US"/>
        </w:rPr>
        <w:t xml:space="preserve">omparison between </w:t>
      </w:r>
      <w:r w:rsidR="00AF2261" w:rsidRPr="00CE15A6">
        <w:rPr>
          <w:lang w:val="en-US"/>
        </w:rPr>
        <w:t xml:space="preserve">the first </w:t>
      </w:r>
      <w:r>
        <w:rPr>
          <w:lang w:val="en-US"/>
        </w:rPr>
        <w:t>two data points of</w:t>
      </w:r>
      <w:r w:rsidR="00AF2261" w:rsidRPr="00CE15A6">
        <w:rPr>
          <w:lang w:val="en-US"/>
        </w:rPr>
        <w:t xml:space="preserve"> each cell setup</w:t>
      </w:r>
      <w:r w:rsidR="00A36244" w:rsidRPr="00CE15A6">
        <w:rPr>
          <w:lang w:val="en-US"/>
        </w:rPr>
        <w:t xml:space="preserve"> (</w:t>
      </w:r>
      <w:r w:rsidR="00A36244" w:rsidRPr="00CE15A6">
        <w:rPr>
          <w:lang w:val="en-US"/>
        </w:rPr>
        <w:noBreakHyphen/>
        <w:t>12 h</w:t>
      </w:r>
      <w:r>
        <w:rPr>
          <w:lang w:val="en-US"/>
        </w:rPr>
        <w:t>, 0 h</w:t>
      </w:r>
      <w:r w:rsidR="00A36244" w:rsidRPr="00CE15A6">
        <w:rPr>
          <w:lang w:val="en-US"/>
        </w:rPr>
        <w:t>)</w:t>
      </w:r>
      <w:r w:rsidR="00987424" w:rsidRPr="00CE15A6">
        <w:rPr>
          <w:lang w:val="en-US"/>
        </w:rPr>
        <w:t xml:space="preserve">, </w:t>
      </w:r>
      <w:r>
        <w:rPr>
          <w:lang w:val="en-US"/>
        </w:rPr>
        <w:t>reveals that the presence of the NPL will lead to an at least three times higher initial R</w:t>
      </w:r>
      <w:r w:rsidRPr="002033E5">
        <w:rPr>
          <w:vertAlign w:val="subscript"/>
          <w:lang w:val="en-US"/>
        </w:rPr>
        <w:t>SEI</w:t>
      </w:r>
      <w:r>
        <w:rPr>
          <w:lang w:val="en-US"/>
        </w:rPr>
        <w:t xml:space="preserve"> (depending on the electrolyte) and will also result in a more pronounced increase in R</w:t>
      </w:r>
      <w:r>
        <w:rPr>
          <w:vertAlign w:val="subscript"/>
          <w:lang w:val="en-US"/>
        </w:rPr>
        <w:t xml:space="preserve">SEI </w:t>
      </w:r>
      <w:r w:rsidR="002D1143">
        <w:rPr>
          <w:lang w:val="en-US"/>
        </w:rPr>
        <w:t>under OCV conditions</w:t>
      </w:r>
      <w:r w:rsidR="002D1143" w:rsidRPr="002033E5">
        <w:rPr>
          <w:lang w:val="en-US"/>
        </w:rPr>
        <w:t xml:space="preserve"> </w:t>
      </w:r>
      <w:r w:rsidRPr="002033E5">
        <w:rPr>
          <w:lang w:val="en-US"/>
        </w:rPr>
        <w:t>over the first 12</w:t>
      </w:r>
      <w:r>
        <w:rPr>
          <w:lang w:val="en-US"/>
        </w:rPr>
        <w:t> </w:t>
      </w:r>
      <w:r w:rsidRPr="002033E5">
        <w:rPr>
          <w:lang w:val="en-US"/>
        </w:rPr>
        <w:t>h</w:t>
      </w:r>
      <w:r w:rsidR="00AF2261" w:rsidRPr="00CE15A6">
        <w:rPr>
          <w:lang w:val="en-US"/>
        </w:rPr>
        <w:t xml:space="preserve">. </w:t>
      </w:r>
      <w:r w:rsidR="00123C57" w:rsidRPr="00CE15A6">
        <w:rPr>
          <w:lang w:val="en-US"/>
        </w:rPr>
        <w:t xml:space="preserve">These observations reveal a </w:t>
      </w:r>
      <w:r w:rsidR="002D1143">
        <w:rPr>
          <w:lang w:val="en-US"/>
        </w:rPr>
        <w:t>notable</w:t>
      </w:r>
      <w:r w:rsidR="00123C57" w:rsidRPr="00CE15A6">
        <w:rPr>
          <w:lang w:val="en-US"/>
        </w:rPr>
        <w:t xml:space="preserve"> </w:t>
      </w:r>
      <w:r w:rsidR="00F219A8" w:rsidRPr="00CE15A6">
        <w:rPr>
          <w:lang w:val="en-US"/>
        </w:rPr>
        <w:t xml:space="preserve">reactivity of pLi with the electrolyte </w:t>
      </w:r>
      <w:r>
        <w:rPr>
          <w:lang w:val="en-US"/>
        </w:rPr>
        <w:t>after cell assembly</w:t>
      </w:r>
      <w:r w:rsidR="00FF2699" w:rsidRPr="00CE15A6">
        <w:rPr>
          <w:lang w:val="en-US"/>
        </w:rPr>
        <w:t>.</w:t>
      </w:r>
      <w:r w:rsidR="00B67B81">
        <w:rPr>
          <w:lang w:val="en-US"/>
        </w:rPr>
        <w:t xml:space="preserve"> Regarding the investigated pSEIs, the highest and most increasing </w:t>
      </w:r>
      <w:r w:rsidR="00B67B81" w:rsidRPr="00B67B81">
        <w:rPr>
          <w:lang w:val="en-US"/>
        </w:rPr>
        <w:t>R</w:t>
      </w:r>
      <w:r w:rsidR="00B67B81">
        <w:rPr>
          <w:vertAlign w:val="subscript"/>
          <w:lang w:val="en-US"/>
        </w:rPr>
        <w:t>SEI</w:t>
      </w:r>
      <w:r w:rsidR="00B67B81">
        <w:rPr>
          <w:lang w:val="en-US"/>
        </w:rPr>
        <w:t xml:space="preserve"> was measured for AE</w:t>
      </w:r>
      <w:r w:rsidR="00B67B81">
        <w:rPr>
          <w:lang w:val="en-US"/>
        </w:rPr>
        <w:noBreakHyphen/>
        <w:t>VC@Li×AE</w:t>
      </w:r>
      <w:r w:rsidR="00B67B81">
        <w:rPr>
          <w:lang w:val="en-US"/>
        </w:rPr>
        <w:noBreakHyphen/>
        <w:t>VC</w:t>
      </w:r>
      <w:r w:rsidR="008E2385">
        <w:rPr>
          <w:lang w:val="en-US"/>
        </w:rPr>
        <w:t xml:space="preserve"> during the</w:t>
      </w:r>
      <w:r w:rsidR="00D93A61">
        <w:rPr>
          <w:lang w:val="en-US"/>
        </w:rPr>
        <w:t xml:space="preserve"> OCV period, whereas the BE and AE</w:t>
      </w:r>
      <w:r w:rsidR="00D93A61">
        <w:rPr>
          <w:lang w:val="en-US"/>
        </w:rPr>
        <w:noBreakHyphen/>
        <w:t xml:space="preserve">FEC-based </w:t>
      </w:r>
      <w:r w:rsidR="00FC47EB">
        <w:rPr>
          <w:lang w:val="en-US"/>
        </w:rPr>
        <w:t>pSEIs</w:t>
      </w:r>
      <w:r w:rsidR="00D93A61">
        <w:rPr>
          <w:lang w:val="en-US"/>
        </w:rPr>
        <w:t xml:space="preserve"> R</w:t>
      </w:r>
      <w:r w:rsidR="00D93A61">
        <w:rPr>
          <w:vertAlign w:val="subscript"/>
          <w:lang w:val="en-US"/>
        </w:rPr>
        <w:t xml:space="preserve">SEI </w:t>
      </w:r>
      <w:r w:rsidR="00D93A61" w:rsidRPr="00D93A61">
        <w:rPr>
          <w:lang w:val="en-US"/>
        </w:rPr>
        <w:t xml:space="preserve">remain </w:t>
      </w:r>
      <w:r w:rsidR="00D93A61">
        <w:rPr>
          <w:lang w:val="en-US"/>
        </w:rPr>
        <w:t>almost unchanged</w:t>
      </w:r>
      <w:r w:rsidR="00B67B81">
        <w:rPr>
          <w:lang w:val="en-US"/>
        </w:rPr>
        <w:t xml:space="preserve"> over the OCV period</w:t>
      </w:r>
      <w:r w:rsidR="00D93A61">
        <w:rPr>
          <w:lang w:val="en-US"/>
        </w:rPr>
        <w:t xml:space="preserve">. </w:t>
      </w:r>
    </w:p>
    <w:p w14:paraId="728DEA49" w14:textId="19045B16" w:rsidR="00AD0955" w:rsidRPr="00E87773" w:rsidRDefault="00D93A61" w:rsidP="00D93A61">
      <w:pPr>
        <w:pStyle w:val="Beschriftung"/>
        <w:rPr>
          <w:lang w:val="en-US"/>
        </w:rPr>
      </w:pPr>
      <w:r>
        <w:rPr>
          <w:lang w:val="en-US"/>
        </w:rPr>
        <w:t xml:space="preserve">The </w:t>
      </w:r>
      <w:r w:rsidR="00135BF8">
        <w:rPr>
          <w:lang w:val="en-US"/>
        </w:rPr>
        <w:t>noteworthy</w:t>
      </w:r>
      <w:r>
        <w:rPr>
          <w:lang w:val="en-US"/>
        </w:rPr>
        <w:t xml:space="preserve"> R</w:t>
      </w:r>
      <w:r>
        <w:rPr>
          <w:vertAlign w:val="subscript"/>
          <w:lang w:val="en-US"/>
        </w:rPr>
        <w:t xml:space="preserve">SEI </w:t>
      </w:r>
      <w:r>
        <w:rPr>
          <w:lang w:val="en-US"/>
        </w:rPr>
        <w:t xml:space="preserve">increase of the pLi/NPL containing cell setups is followed by an even bigger decrease over the first </w:t>
      </w:r>
      <w:r w:rsidR="00B67B81">
        <w:rPr>
          <w:lang w:val="en-US"/>
        </w:rPr>
        <w:t>five</w:t>
      </w:r>
      <w:r>
        <w:rPr>
          <w:lang w:val="en-US"/>
        </w:rPr>
        <w:t xml:space="preserve"> stripping/plating cycles (10 h) and further decrease until the end of the experiment (100 h). </w:t>
      </w:r>
      <w:r w:rsidR="00214590" w:rsidRPr="00214590">
        <w:rPr>
          <w:lang w:val="en-US"/>
        </w:rPr>
        <w:t>The</w:t>
      </w:r>
      <w:r w:rsidR="00214590" w:rsidRPr="00CE15A6">
        <w:rPr>
          <w:lang w:val="en-US"/>
        </w:rPr>
        <w:t xml:space="preserve"> rapid initial decrease in R</w:t>
      </w:r>
      <w:r w:rsidR="00214590" w:rsidRPr="00CE15A6">
        <w:rPr>
          <w:vertAlign w:val="subscript"/>
          <w:lang w:val="en-US"/>
        </w:rPr>
        <w:t>SEI</w:t>
      </w:r>
      <w:r w:rsidR="00214590" w:rsidRPr="00CE15A6">
        <w:rPr>
          <w:lang w:val="en-US"/>
        </w:rPr>
        <w:t xml:space="preserve"> of pLi followed by the resulting slower decrease has already been discussed in other surface </w:t>
      </w:r>
      <w:r w:rsidR="008E2385">
        <w:rPr>
          <w:lang w:val="en-US"/>
        </w:rPr>
        <w:t>modification</w:t>
      </w:r>
      <w:r w:rsidR="00214590" w:rsidRPr="00CE15A6">
        <w:rPr>
          <w:lang w:val="en-US"/>
        </w:rPr>
        <w:t xml:space="preserve"> studies,</w:t>
      </w:r>
      <w:r w:rsidR="002F1A79" w:rsidRPr="002F1A79">
        <w:rPr>
          <w:noProof/>
          <w:lang w:val="en-US"/>
        </w:rPr>
        <w:t>[37]</w:t>
      </w:r>
      <w:r w:rsidR="00214590" w:rsidRPr="00CE15A6">
        <w:rPr>
          <w:lang w:val="en-US"/>
        </w:rPr>
        <w:t xml:space="preserve"> and is most likely caused by the replacement of the </w:t>
      </w:r>
      <w:r w:rsidR="00214590">
        <w:rPr>
          <w:lang w:val="en-US"/>
        </w:rPr>
        <w:t>NPL</w:t>
      </w:r>
      <w:r w:rsidR="00214590" w:rsidRPr="00CE15A6">
        <w:rPr>
          <w:lang w:val="en-US"/>
        </w:rPr>
        <w:t xml:space="preserve"> </w:t>
      </w:r>
      <w:r w:rsidR="00214590">
        <w:rPr>
          <w:lang w:val="en-US"/>
        </w:rPr>
        <w:t xml:space="preserve">by an </w:t>
      </w:r>
      <w:r w:rsidR="00214590">
        <w:rPr>
          <w:i/>
          <w:lang w:val="en-US"/>
        </w:rPr>
        <w:t>in situ</w:t>
      </w:r>
      <w:r w:rsidR="00214590">
        <w:rPr>
          <w:lang w:val="en-US"/>
        </w:rPr>
        <w:t xml:space="preserve"> formed</w:t>
      </w:r>
      <w:r w:rsidR="00214590" w:rsidRPr="00CE15A6">
        <w:rPr>
          <w:lang w:val="en-US"/>
        </w:rPr>
        <w:t xml:space="preserve"> SEI. </w:t>
      </w:r>
      <w:r w:rsidR="00214590">
        <w:rPr>
          <w:lang w:val="en-US"/>
        </w:rPr>
        <w:t xml:space="preserve">In the end </w:t>
      </w:r>
      <w:r>
        <w:rPr>
          <w:lang w:val="en-US"/>
        </w:rPr>
        <w:t>pLi×AE</w:t>
      </w:r>
      <w:r>
        <w:rPr>
          <w:lang w:val="en-US"/>
        </w:rPr>
        <w:noBreakHyphen/>
        <w:t xml:space="preserve">VC </w:t>
      </w:r>
      <w:r w:rsidR="00214590">
        <w:rPr>
          <w:lang w:val="en-US"/>
        </w:rPr>
        <w:t xml:space="preserve">produces the constantly highest measures </w:t>
      </w:r>
      <w:r w:rsidR="00214590" w:rsidRPr="00214590">
        <w:rPr>
          <w:lang w:val="en-US"/>
        </w:rPr>
        <w:t>R</w:t>
      </w:r>
      <w:r w:rsidR="00214590">
        <w:rPr>
          <w:vertAlign w:val="subscript"/>
          <w:lang w:val="en-US"/>
        </w:rPr>
        <w:t>SEI</w:t>
      </w:r>
      <w:r w:rsidR="00214590">
        <w:rPr>
          <w:lang w:val="en-US"/>
        </w:rPr>
        <w:t xml:space="preserve"> values of all </w:t>
      </w:r>
      <w:r w:rsidR="00B67B81">
        <w:rPr>
          <w:lang w:val="en-US"/>
        </w:rPr>
        <w:t>six</w:t>
      </w:r>
      <w:r w:rsidR="00214590">
        <w:rPr>
          <w:lang w:val="en-US"/>
        </w:rPr>
        <w:t xml:space="preserve"> analyzed cell setups.</w:t>
      </w:r>
      <w:r w:rsidR="00D43CEC">
        <w:rPr>
          <w:lang w:val="en-US"/>
        </w:rPr>
        <w:t xml:space="preserve"> AE</w:t>
      </w:r>
      <w:r w:rsidR="00D43CEC">
        <w:rPr>
          <w:lang w:val="en-US"/>
        </w:rPr>
        <w:noBreakHyphen/>
        <w:t>VC@Li×AE</w:t>
      </w:r>
      <w:r w:rsidR="00D43CEC">
        <w:rPr>
          <w:lang w:val="en-US"/>
        </w:rPr>
        <w:noBreakHyphen/>
        <w:t>VC is also responsible for the highest R</w:t>
      </w:r>
      <w:r w:rsidR="00D43CEC">
        <w:rPr>
          <w:vertAlign w:val="subscript"/>
          <w:lang w:val="en-US"/>
        </w:rPr>
        <w:t>SEI</w:t>
      </w:r>
      <w:r w:rsidR="00D43CEC">
        <w:rPr>
          <w:lang w:val="en-US"/>
        </w:rPr>
        <w:t xml:space="preserve"> values of the three evaluated pSEI containing cell setups, whereas BE@Li×BE and AE</w:t>
      </w:r>
      <w:r w:rsidR="00D43CEC">
        <w:rPr>
          <w:lang w:val="en-US"/>
        </w:rPr>
        <w:noBreakHyphen/>
        <w:t>FEC@Li×AE</w:t>
      </w:r>
      <w:r w:rsidR="00D43CEC">
        <w:rPr>
          <w:lang w:val="en-US"/>
        </w:rPr>
        <w:noBreakHyphen/>
        <w:t>FEC experience only a moderate decrease during the initial 10 h and remain almost unchanged afterwards.</w:t>
      </w:r>
      <w:r w:rsidR="00E87773">
        <w:rPr>
          <w:lang w:val="en-US"/>
        </w:rPr>
        <w:t xml:space="preserve"> </w:t>
      </w:r>
    </w:p>
    <w:p w14:paraId="0F2007E7" w14:textId="35A66169" w:rsidR="009F7253" w:rsidRPr="00CE15A6" w:rsidRDefault="00AC10DD" w:rsidP="00AC10DD">
      <w:pPr>
        <w:pStyle w:val="Beschriftung"/>
        <w:rPr>
          <w:sz w:val="24"/>
          <w:lang w:val="en-US"/>
        </w:rPr>
      </w:pPr>
      <w:r>
        <w:rPr>
          <w:lang w:val="en-US"/>
        </w:rPr>
        <w:t>The p</w:t>
      </w:r>
      <w:r w:rsidR="004A760A">
        <w:rPr>
          <w:lang w:val="en-US"/>
        </w:rPr>
        <w:t xml:space="preserve">erformed </w:t>
      </w:r>
      <w:r w:rsidR="008E2385">
        <w:rPr>
          <w:i/>
          <w:lang w:val="en-US"/>
        </w:rPr>
        <w:t xml:space="preserve">operando </w:t>
      </w:r>
      <w:r w:rsidR="002F493B" w:rsidRPr="00CE15A6">
        <w:rPr>
          <w:lang w:val="en-US"/>
        </w:rPr>
        <w:t xml:space="preserve">EIS measurements allow to answer and refine </w:t>
      </w:r>
      <w:r w:rsidR="00135BF8">
        <w:rPr>
          <w:lang w:val="en-US"/>
        </w:rPr>
        <w:t>the</w:t>
      </w:r>
      <w:r w:rsidR="00135BF8" w:rsidRPr="00CE15A6">
        <w:rPr>
          <w:lang w:val="en-US"/>
        </w:rPr>
        <w:t xml:space="preserve"> </w:t>
      </w:r>
      <w:r w:rsidR="00135BF8">
        <w:rPr>
          <w:lang w:val="en-US"/>
        </w:rPr>
        <w:t xml:space="preserve">preliminary </w:t>
      </w:r>
      <w:r w:rsidR="002F493B" w:rsidRPr="00CE15A6">
        <w:rPr>
          <w:lang w:val="en-US"/>
        </w:rPr>
        <w:t>hypothesis made after stripping/plating experiments</w:t>
      </w:r>
      <w:r w:rsidR="00AD0955" w:rsidRPr="00CE15A6">
        <w:rPr>
          <w:lang w:val="en-US"/>
        </w:rPr>
        <w:t>: 1) The</w:t>
      </w:r>
      <w:r w:rsidR="002F493B" w:rsidRPr="00CE15A6">
        <w:rPr>
          <w:lang w:val="en-US"/>
        </w:rPr>
        <w:t xml:space="preserve"> </w:t>
      </w:r>
      <w:r w:rsidR="003F3C0F">
        <w:rPr>
          <w:lang w:val="en-US"/>
        </w:rPr>
        <w:t>NPL</w:t>
      </w:r>
      <w:r w:rsidR="002F493B" w:rsidRPr="00CE15A6">
        <w:rPr>
          <w:lang w:val="en-US"/>
        </w:rPr>
        <w:t xml:space="preserve"> covering pLi represents a significant resistive barrier</w:t>
      </w:r>
      <w:r w:rsidR="008526FD" w:rsidRPr="00CE15A6">
        <w:rPr>
          <w:lang w:val="en-US"/>
        </w:rPr>
        <w:t xml:space="preserve"> and the R</w:t>
      </w:r>
      <w:r w:rsidR="008526FD" w:rsidRPr="00CE15A6">
        <w:rPr>
          <w:vertAlign w:val="subscript"/>
          <w:lang w:val="en-US"/>
        </w:rPr>
        <w:t>SEI</w:t>
      </w:r>
      <w:r w:rsidR="008526FD" w:rsidRPr="00CE15A6">
        <w:rPr>
          <w:lang w:val="en-US"/>
        </w:rPr>
        <w:t xml:space="preserve"> of the three pLi setups </w:t>
      </w:r>
      <w:r w:rsidR="002F493B" w:rsidRPr="00CE15A6">
        <w:rPr>
          <w:lang w:val="en-US"/>
        </w:rPr>
        <w:t>experience significant changes by reacting with the electrolyte, both under OCV and stripping/plating conditions.</w:t>
      </w:r>
      <w:r w:rsidR="00AD0955" w:rsidRPr="00CE15A6">
        <w:rPr>
          <w:lang w:val="en-US"/>
        </w:rPr>
        <w:t xml:space="preserve"> </w:t>
      </w:r>
      <w:r w:rsidR="002F493B" w:rsidRPr="00CE15A6">
        <w:rPr>
          <w:lang w:val="en-US"/>
        </w:rPr>
        <w:t>However, even</w:t>
      </w:r>
      <w:r w:rsidR="00AD0955" w:rsidRPr="00CE15A6">
        <w:rPr>
          <w:lang w:val="en-US"/>
        </w:rPr>
        <w:t xml:space="preserve"> after 100 h of stripping/plating, the </w:t>
      </w:r>
      <w:r w:rsidR="003F3C0F">
        <w:rPr>
          <w:lang w:val="en-US"/>
        </w:rPr>
        <w:t>NPL</w:t>
      </w:r>
      <w:r w:rsidR="00AD0955" w:rsidRPr="00CE15A6">
        <w:rPr>
          <w:lang w:val="en-US"/>
        </w:rPr>
        <w:t xml:space="preserve"> on pLi has still an influence on the R</w:t>
      </w:r>
      <w:r w:rsidR="00AD0955" w:rsidRPr="00CE15A6">
        <w:rPr>
          <w:vertAlign w:val="subscript"/>
          <w:lang w:val="en-US"/>
        </w:rPr>
        <w:t>SEI</w:t>
      </w:r>
      <w:r w:rsidR="00545337" w:rsidRPr="00CE15A6">
        <w:rPr>
          <w:lang w:val="en-US"/>
        </w:rPr>
        <w:t>.</w:t>
      </w:r>
      <w:r w:rsidR="00AD0955" w:rsidRPr="00CE15A6">
        <w:rPr>
          <w:lang w:val="en-US"/>
        </w:rPr>
        <w:t xml:space="preserve"> </w:t>
      </w:r>
      <w:r w:rsidR="00545337" w:rsidRPr="00CE15A6">
        <w:rPr>
          <w:lang w:val="en-US"/>
        </w:rPr>
        <w:t>2)</w:t>
      </w:r>
      <w:r w:rsidR="008526FD" w:rsidRPr="00CE15A6">
        <w:rPr>
          <w:lang w:val="en-US"/>
        </w:rPr>
        <w:t xml:space="preserve"> The initial resistance of pLi cell setup </w:t>
      </w:r>
      <w:r w:rsidR="00935ECC">
        <w:rPr>
          <w:lang w:val="en-US"/>
        </w:rPr>
        <w:t xml:space="preserve">and </w:t>
      </w:r>
      <w:r w:rsidR="008526FD" w:rsidRPr="00CE15A6">
        <w:rPr>
          <w:lang w:val="en-US"/>
        </w:rPr>
        <w:t>the rapid decrease in R</w:t>
      </w:r>
      <w:r w:rsidR="008526FD" w:rsidRPr="00CE15A6">
        <w:rPr>
          <w:vertAlign w:val="subscript"/>
          <w:lang w:val="en-US"/>
        </w:rPr>
        <w:t>SEI</w:t>
      </w:r>
      <w:r w:rsidR="008526FD" w:rsidRPr="00CE15A6">
        <w:rPr>
          <w:lang w:val="en-US"/>
        </w:rPr>
        <w:t xml:space="preserve"> over the initial </w:t>
      </w:r>
      <w:r w:rsidR="00B67B81">
        <w:rPr>
          <w:lang w:val="en-US"/>
        </w:rPr>
        <w:t>five</w:t>
      </w:r>
      <w:r w:rsidR="008526FD" w:rsidRPr="00CE15A6">
        <w:rPr>
          <w:lang w:val="en-US"/>
        </w:rPr>
        <w:t xml:space="preserve"> stripping/plating cycles</w:t>
      </w:r>
      <w:r w:rsidR="00D43CEC">
        <w:rPr>
          <w:lang w:val="en-US"/>
        </w:rPr>
        <w:t xml:space="preserve"> (10 h)</w:t>
      </w:r>
      <w:r w:rsidR="008526FD" w:rsidRPr="00CE15A6">
        <w:rPr>
          <w:lang w:val="en-US"/>
        </w:rPr>
        <w:t xml:space="preserve">, indicate a large surface and chemical composition change, during the </w:t>
      </w:r>
      <w:r>
        <w:rPr>
          <w:i/>
          <w:lang w:val="en-US"/>
        </w:rPr>
        <w:t xml:space="preserve">in situ </w:t>
      </w:r>
      <w:r w:rsidR="008526FD" w:rsidRPr="00CE15A6">
        <w:rPr>
          <w:lang w:val="en-US"/>
        </w:rPr>
        <w:t>SEI</w:t>
      </w:r>
      <w:r>
        <w:rPr>
          <w:lang w:val="en-US"/>
        </w:rPr>
        <w:t xml:space="preserve"> formation</w:t>
      </w:r>
      <w:r w:rsidR="008526FD" w:rsidRPr="00CE15A6">
        <w:rPr>
          <w:lang w:val="en-US"/>
        </w:rPr>
        <w:t>, which is as pronounced for the three pSEI setup</w:t>
      </w:r>
      <w:r w:rsidR="001359E3">
        <w:rPr>
          <w:lang w:val="en-US"/>
        </w:rPr>
        <w:t>s</w:t>
      </w:r>
      <w:r w:rsidR="008526FD" w:rsidRPr="00CE15A6">
        <w:rPr>
          <w:lang w:val="en-US"/>
        </w:rPr>
        <w:t xml:space="preserve">. 3) </w:t>
      </w:r>
      <w:r w:rsidR="00545337" w:rsidRPr="00CE15A6">
        <w:rPr>
          <w:lang w:val="en-US"/>
        </w:rPr>
        <w:t xml:space="preserve">Comparing the two </w:t>
      </w:r>
      <w:r w:rsidR="00935ECC">
        <w:rPr>
          <w:lang w:val="en-US"/>
        </w:rPr>
        <w:t>considered</w:t>
      </w:r>
      <w:r w:rsidR="001359E3">
        <w:rPr>
          <w:lang w:val="en-US"/>
        </w:rPr>
        <w:t xml:space="preserve"> </w:t>
      </w:r>
      <w:r w:rsidR="008526FD" w:rsidRPr="00CE15A6">
        <w:rPr>
          <w:lang w:val="en-US"/>
        </w:rPr>
        <w:t xml:space="preserve">electrolytes, </w:t>
      </w:r>
      <w:r>
        <w:rPr>
          <w:lang w:val="en-US"/>
        </w:rPr>
        <w:t xml:space="preserve">the </w:t>
      </w:r>
      <w:r w:rsidR="004A760A">
        <w:rPr>
          <w:lang w:val="en-US"/>
        </w:rPr>
        <w:t xml:space="preserve">presence of </w:t>
      </w:r>
      <w:r w:rsidR="008526FD" w:rsidRPr="00CE15A6">
        <w:rPr>
          <w:lang w:val="en-US"/>
        </w:rPr>
        <w:t xml:space="preserve">FEC </w:t>
      </w:r>
      <w:r w:rsidR="00721A61" w:rsidRPr="00CE15A6">
        <w:rPr>
          <w:lang w:val="en-US"/>
        </w:rPr>
        <w:t>outperforms</w:t>
      </w:r>
      <w:r w:rsidR="008526FD" w:rsidRPr="00CE15A6">
        <w:rPr>
          <w:lang w:val="en-US"/>
        </w:rPr>
        <w:t xml:space="preserve"> VC and improves the R</w:t>
      </w:r>
      <w:r w:rsidR="008526FD" w:rsidRPr="00CE15A6">
        <w:rPr>
          <w:vertAlign w:val="subscript"/>
          <w:lang w:val="en-US"/>
        </w:rPr>
        <w:t>SEI</w:t>
      </w:r>
      <w:r w:rsidR="008526FD" w:rsidRPr="00CE15A6">
        <w:rPr>
          <w:lang w:val="en-US"/>
        </w:rPr>
        <w:t xml:space="preserve"> compared to BE</w:t>
      </w:r>
      <w:r w:rsidR="00721A61" w:rsidRPr="00CE15A6">
        <w:rPr>
          <w:lang w:val="en-US"/>
        </w:rPr>
        <w:t xml:space="preserve">, whereas </w:t>
      </w:r>
      <w:r>
        <w:rPr>
          <w:lang w:val="en-US"/>
        </w:rPr>
        <w:t xml:space="preserve">the </w:t>
      </w:r>
      <w:r w:rsidR="008A228F">
        <w:rPr>
          <w:lang w:val="en-US"/>
        </w:rPr>
        <w:t xml:space="preserve">addition of </w:t>
      </w:r>
      <w:r w:rsidR="00721A61" w:rsidRPr="00CE15A6">
        <w:rPr>
          <w:lang w:val="en-US"/>
        </w:rPr>
        <w:t xml:space="preserve">5 wt.% </w:t>
      </w:r>
      <w:r>
        <w:rPr>
          <w:lang w:val="en-US"/>
        </w:rPr>
        <w:t xml:space="preserve">VC </w:t>
      </w:r>
      <w:r w:rsidR="00721A61" w:rsidRPr="00CE15A6">
        <w:rPr>
          <w:lang w:val="en-US"/>
        </w:rPr>
        <w:t>results in a higher R</w:t>
      </w:r>
      <w:r w:rsidR="00721A61" w:rsidRPr="00CE15A6">
        <w:rPr>
          <w:vertAlign w:val="subscript"/>
          <w:lang w:val="en-US"/>
        </w:rPr>
        <w:t>SEI</w:t>
      </w:r>
      <w:r w:rsidR="008526FD" w:rsidRPr="00CE15A6">
        <w:rPr>
          <w:lang w:val="en-US"/>
        </w:rPr>
        <w:t>.</w:t>
      </w:r>
      <w:r w:rsidR="00AF2261" w:rsidRPr="00CE15A6">
        <w:rPr>
          <w:lang w:val="en-US"/>
        </w:rPr>
        <w:t xml:space="preserve"> </w:t>
      </w:r>
    </w:p>
    <w:p w14:paraId="01F826C9" w14:textId="77777777" w:rsidR="009F7253" w:rsidRPr="00CE15A6" w:rsidRDefault="009F7253" w:rsidP="009F2841">
      <w:pPr>
        <w:pStyle w:val="MT1"/>
      </w:pPr>
      <w:r w:rsidRPr="00CE15A6">
        <w:t>Optical analysis</w:t>
      </w:r>
    </w:p>
    <w:p w14:paraId="43799ACF" w14:textId="0B684405" w:rsidR="00D85444" w:rsidRPr="00CE15A6" w:rsidRDefault="009F7253" w:rsidP="00AC10DD">
      <w:pPr>
        <w:pStyle w:val="Beschriftung"/>
        <w:rPr>
          <w:lang w:val="en-US"/>
        </w:rPr>
      </w:pPr>
      <w:r w:rsidRPr="00CE15A6">
        <w:rPr>
          <w:lang w:val="en-US"/>
        </w:rPr>
        <w:t>Based on the electrochemical analysis</w:t>
      </w:r>
      <w:r w:rsidR="00713167" w:rsidRPr="00CE15A6">
        <w:rPr>
          <w:lang w:val="en-US"/>
        </w:rPr>
        <w:t xml:space="preserve"> of the </w:t>
      </w:r>
      <w:r w:rsidR="00CB2F4F">
        <w:rPr>
          <w:lang w:val="en-US"/>
        </w:rPr>
        <w:t xml:space="preserve">considered </w:t>
      </w:r>
      <w:r w:rsidR="00713167" w:rsidRPr="00CE15A6">
        <w:rPr>
          <w:lang w:val="en-US"/>
        </w:rPr>
        <w:t>six cell setups</w:t>
      </w:r>
      <w:r w:rsidRPr="00CE15A6">
        <w:rPr>
          <w:lang w:val="en-US"/>
        </w:rPr>
        <w:t xml:space="preserve">, </w:t>
      </w:r>
      <w:r w:rsidR="00D85444" w:rsidRPr="00CE15A6">
        <w:rPr>
          <w:lang w:val="en-US"/>
        </w:rPr>
        <w:t xml:space="preserve">following hypothesis were investigated via </w:t>
      </w:r>
      <w:r w:rsidR="00D85444" w:rsidRPr="00CE15A6">
        <w:rPr>
          <w:i/>
          <w:lang w:val="en-US"/>
        </w:rPr>
        <w:t>post mortem</w:t>
      </w:r>
      <w:r w:rsidR="00D85444" w:rsidRPr="00CE15A6">
        <w:rPr>
          <w:lang w:val="en-US"/>
        </w:rPr>
        <w:t xml:space="preserve"> optical analysis using SEM </w:t>
      </w:r>
      <w:r w:rsidR="000D2302" w:rsidRPr="00CE15A6">
        <w:rPr>
          <w:lang w:val="en-US"/>
        </w:rPr>
        <w:t>(</w:t>
      </w:r>
      <w:r w:rsidR="00AC10DD" w:rsidRPr="00AC10DD">
        <w:rPr>
          <w:lang w:val="en-US"/>
        </w:rPr>
        <w:t xml:space="preserve">Fig. </w:t>
      </w:r>
      <w:r w:rsidR="00AC10DD" w:rsidRPr="00AC10DD">
        <w:rPr>
          <w:noProof/>
          <w:lang w:val="en-US"/>
        </w:rPr>
        <w:t>8</w:t>
      </w:r>
      <w:r w:rsidR="000D2302" w:rsidRPr="00CE15A6">
        <w:rPr>
          <w:lang w:val="en-US"/>
        </w:rPr>
        <w:t>)</w:t>
      </w:r>
      <w:r w:rsidR="00D85444" w:rsidRPr="00CE15A6">
        <w:rPr>
          <w:lang w:val="en-US"/>
        </w:rPr>
        <w:t>:</w:t>
      </w:r>
      <w:r w:rsidRPr="00CE15A6">
        <w:rPr>
          <w:lang w:val="en-US"/>
        </w:rPr>
        <w:t xml:space="preserve"> The native pLi as well as the pSEI on AE</w:t>
      </w:r>
      <w:r w:rsidRPr="00CE15A6">
        <w:rPr>
          <w:lang w:val="en-US"/>
        </w:rPr>
        <w:noBreakHyphen/>
        <w:t>VC@Li is believed to enhance an inhomogeneous stripping</w:t>
      </w:r>
      <w:r w:rsidR="00713167" w:rsidRPr="00CE15A6">
        <w:rPr>
          <w:lang w:val="en-US"/>
        </w:rPr>
        <w:t>/</w:t>
      </w:r>
      <w:r w:rsidRPr="00CE15A6">
        <w:rPr>
          <w:lang w:val="en-US"/>
        </w:rPr>
        <w:t>plating behavior and/or enhanced dendrite growth based on the overvoltage profile</w:t>
      </w:r>
      <w:r w:rsidR="00713167" w:rsidRPr="00CE15A6">
        <w:rPr>
          <w:lang w:val="en-US"/>
        </w:rPr>
        <w:t xml:space="preserve"> during </w:t>
      </w:r>
      <w:r w:rsidR="00DC2A7E" w:rsidRPr="00CE15A6">
        <w:rPr>
          <w:lang w:val="en-US"/>
        </w:rPr>
        <w:t>stripping/plating</w:t>
      </w:r>
      <w:r w:rsidR="00D85444" w:rsidRPr="00CE15A6">
        <w:rPr>
          <w:lang w:val="en-US"/>
        </w:rPr>
        <w:t xml:space="preserve"> and </w:t>
      </w:r>
      <w:r w:rsidR="008E2385">
        <w:rPr>
          <w:i/>
          <w:lang w:val="en-US"/>
        </w:rPr>
        <w:t xml:space="preserve">operando </w:t>
      </w:r>
      <w:r w:rsidR="00D85444" w:rsidRPr="00CE15A6">
        <w:rPr>
          <w:lang w:val="en-US"/>
        </w:rPr>
        <w:t xml:space="preserve">EIS measurements. The pSEIs </w:t>
      </w:r>
      <w:r w:rsidRPr="00CE15A6">
        <w:rPr>
          <w:lang w:val="en-US"/>
        </w:rPr>
        <w:t>on BE@Li</w:t>
      </w:r>
      <w:r w:rsidR="00D85444" w:rsidRPr="00CE15A6">
        <w:rPr>
          <w:lang w:val="en-US"/>
        </w:rPr>
        <w:t xml:space="preserve"> and AE</w:t>
      </w:r>
      <w:r w:rsidR="00D85444" w:rsidRPr="00CE15A6">
        <w:rPr>
          <w:lang w:val="en-US"/>
        </w:rPr>
        <w:noBreakHyphen/>
        <w:t>FEC@Li</w:t>
      </w:r>
      <w:r w:rsidRPr="00CE15A6">
        <w:rPr>
          <w:lang w:val="en-US"/>
        </w:rPr>
        <w:t xml:space="preserve">, on the other hand, </w:t>
      </w:r>
      <w:r w:rsidR="00D85444" w:rsidRPr="00CE15A6">
        <w:rPr>
          <w:lang w:val="en-US"/>
        </w:rPr>
        <w:t>are</w:t>
      </w:r>
      <w:r w:rsidRPr="00CE15A6">
        <w:rPr>
          <w:lang w:val="en-US"/>
        </w:rPr>
        <w:t xml:space="preserve"> believed to promo</w:t>
      </w:r>
      <w:r w:rsidR="00D85444" w:rsidRPr="00CE15A6">
        <w:rPr>
          <w:lang w:val="en-US"/>
        </w:rPr>
        <w:t>te a more homogene</w:t>
      </w:r>
      <w:r w:rsidR="00AC10DD">
        <w:rPr>
          <w:lang w:val="en-US"/>
        </w:rPr>
        <w:t xml:space="preserve">ous stripping/plating behavior. </w:t>
      </w:r>
    </w:p>
    <w:p w14:paraId="4C2C1FF0" w14:textId="7E156D71" w:rsidR="009F7253" w:rsidRPr="00CE15A6" w:rsidRDefault="009F7253" w:rsidP="00AC10DD">
      <w:pPr>
        <w:pStyle w:val="Beschriftung"/>
        <w:rPr>
          <w:lang w:val="en-US"/>
        </w:rPr>
      </w:pPr>
      <w:r w:rsidRPr="00CE15A6">
        <w:rPr>
          <w:lang w:val="en-US"/>
        </w:rPr>
        <w:t>Considerable</w:t>
      </w:r>
      <w:r w:rsidR="00E87773">
        <w:rPr>
          <w:lang w:val="en-US"/>
        </w:rPr>
        <w:t xml:space="preserve"> morphological</w:t>
      </w:r>
      <w:r w:rsidRPr="00CE15A6">
        <w:rPr>
          <w:lang w:val="en-US"/>
        </w:rPr>
        <w:t xml:space="preserve"> differences </w:t>
      </w:r>
      <w:r w:rsidR="00E87773">
        <w:rPr>
          <w:lang w:val="en-US"/>
        </w:rPr>
        <w:t xml:space="preserve">are already visible directly after cell </w:t>
      </w:r>
      <w:r w:rsidR="005B0EAB">
        <w:rPr>
          <w:lang w:val="en-US"/>
        </w:rPr>
        <w:t>disassembly</w:t>
      </w:r>
      <w:r w:rsidR="004A65B7" w:rsidRPr="00CE15A6">
        <w:rPr>
          <w:lang w:val="en-US"/>
        </w:rPr>
        <w:t xml:space="preserve"> </w:t>
      </w:r>
      <w:r w:rsidRPr="00CE15A6">
        <w:rPr>
          <w:lang w:val="en-US"/>
        </w:rPr>
        <w:t>(</w:t>
      </w:r>
      <w:r w:rsidR="00F15C1B" w:rsidRPr="00F15C1B">
        <w:rPr>
          <w:lang w:val="en-US"/>
        </w:rPr>
        <w:t xml:space="preserve">Fig. </w:t>
      </w:r>
      <w:r w:rsidR="00F15C1B" w:rsidRPr="00F15C1B">
        <w:rPr>
          <w:noProof/>
          <w:lang w:val="en-US"/>
        </w:rPr>
        <w:t>7</w:t>
      </w:r>
      <w:r w:rsidR="00F15C1B">
        <w:rPr>
          <w:lang w:val="en-US"/>
        </w:rPr>
        <w:t xml:space="preserve"> </w:t>
      </w:r>
      <w:r w:rsidRPr="00CE15A6">
        <w:rPr>
          <w:lang w:val="en-US"/>
        </w:rPr>
        <w:t>in</w:t>
      </w:r>
      <w:r w:rsidR="00D876F2">
        <w:rPr>
          <w:lang w:val="en-US"/>
        </w:rPr>
        <w:t>s</w:t>
      </w:r>
      <w:r w:rsidRPr="00CE15A6">
        <w:rPr>
          <w:lang w:val="en-US"/>
        </w:rPr>
        <w:t xml:space="preserve">ets): Electrodes harvested from the pLi×BE setup (a) </w:t>
      </w:r>
      <w:r w:rsidR="00F65E32">
        <w:rPr>
          <w:lang w:val="en-US"/>
        </w:rPr>
        <w:t xml:space="preserve">show </w:t>
      </w:r>
      <w:r w:rsidRPr="00CE15A6">
        <w:rPr>
          <w:lang w:val="en-US"/>
        </w:rPr>
        <w:t>high surface are</w:t>
      </w:r>
      <w:r w:rsidR="00721A61" w:rsidRPr="00CE15A6">
        <w:rPr>
          <w:lang w:val="en-US"/>
        </w:rPr>
        <w:t>a</w:t>
      </w:r>
      <w:r w:rsidRPr="00CE15A6">
        <w:rPr>
          <w:lang w:val="en-US"/>
        </w:rPr>
        <w:t xml:space="preserve"> lithium (HSAL) </w:t>
      </w:r>
      <w:r w:rsidR="008A228F">
        <w:rPr>
          <w:lang w:val="en-US"/>
        </w:rPr>
        <w:t xml:space="preserve">formation </w:t>
      </w:r>
      <w:r w:rsidRPr="00CE15A6">
        <w:rPr>
          <w:lang w:val="en-US"/>
        </w:rPr>
        <w:t>on s</w:t>
      </w:r>
      <w:r w:rsidR="008A228F">
        <w:rPr>
          <w:lang w:val="en-US"/>
        </w:rPr>
        <w:t>everal</w:t>
      </w:r>
      <w:r w:rsidR="000D2302" w:rsidRPr="00CE15A6">
        <w:rPr>
          <w:lang w:val="en-US"/>
        </w:rPr>
        <w:t xml:space="preserve"> areas</w:t>
      </w:r>
      <w:r w:rsidRPr="00CE15A6">
        <w:rPr>
          <w:lang w:val="en-US"/>
        </w:rPr>
        <w:t xml:space="preserve"> of the </w:t>
      </w:r>
      <w:r w:rsidR="00B30EB9">
        <w:rPr>
          <w:lang w:val="en-US"/>
        </w:rPr>
        <w:t xml:space="preserve">Li metal </w:t>
      </w:r>
      <w:r w:rsidRPr="00CE15A6">
        <w:rPr>
          <w:lang w:val="en-US"/>
        </w:rPr>
        <w:t xml:space="preserve">electrode. This observation indicates that </w:t>
      </w:r>
      <w:r w:rsidR="000D2302" w:rsidRPr="00CE15A6">
        <w:rPr>
          <w:lang w:val="en-US"/>
        </w:rPr>
        <w:t>l</w:t>
      </w:r>
      <w:r w:rsidRPr="00CE15A6">
        <w:rPr>
          <w:lang w:val="en-US"/>
        </w:rPr>
        <w:t>ithium stripping</w:t>
      </w:r>
      <w:r w:rsidR="000D2302" w:rsidRPr="00CE15A6">
        <w:rPr>
          <w:lang w:val="en-US"/>
        </w:rPr>
        <w:t>/</w:t>
      </w:r>
      <w:r w:rsidRPr="00CE15A6">
        <w:rPr>
          <w:lang w:val="en-US"/>
        </w:rPr>
        <w:t>plating start</w:t>
      </w:r>
      <w:r w:rsidR="000D2302" w:rsidRPr="00CE15A6">
        <w:rPr>
          <w:lang w:val="en-US"/>
        </w:rPr>
        <w:t xml:space="preserve">s </w:t>
      </w:r>
      <w:r w:rsidRPr="00CE15A6">
        <w:rPr>
          <w:lang w:val="en-US"/>
        </w:rPr>
        <w:t>at a</w:t>
      </w:r>
      <w:r w:rsidR="00F65E32">
        <w:rPr>
          <w:lang w:val="en-US"/>
        </w:rPr>
        <w:t xml:space="preserve"> </w:t>
      </w:r>
      <w:r w:rsidR="008A228F">
        <w:rPr>
          <w:lang w:val="en-US"/>
        </w:rPr>
        <w:t>hot</w:t>
      </w:r>
      <w:r w:rsidRPr="00CE15A6">
        <w:rPr>
          <w:lang w:val="en-US"/>
        </w:rPr>
        <w:t xml:space="preserve"> spo</w:t>
      </w:r>
      <w:r w:rsidR="00F65E32">
        <w:rPr>
          <w:lang w:val="en-US"/>
        </w:rPr>
        <w:t>t</w:t>
      </w:r>
      <w:r w:rsidR="00F65E32" w:rsidRPr="00F65E32">
        <w:rPr>
          <w:noProof/>
          <w:lang w:val="en-US"/>
        </w:rPr>
        <w:t>[57]</w:t>
      </w:r>
      <w:r w:rsidR="00F65E32">
        <w:rPr>
          <w:lang w:val="en-US"/>
        </w:rPr>
        <w:t xml:space="preserve"> o</w:t>
      </w:r>
      <w:r w:rsidRPr="00CE15A6">
        <w:rPr>
          <w:lang w:val="en-US"/>
        </w:rPr>
        <w:t>n the electrode surface</w:t>
      </w:r>
      <w:r w:rsidR="00B95EFB">
        <w:rPr>
          <w:lang w:val="en-US"/>
        </w:rPr>
        <w:t>, e.g. a crack in the NPL</w:t>
      </w:r>
      <w:r w:rsidR="00B95EFB" w:rsidRPr="00CE15A6">
        <w:rPr>
          <w:lang w:val="en-US"/>
        </w:rPr>
        <w:t xml:space="preserve"> </w:t>
      </w:r>
      <w:r w:rsidR="00B95EFB">
        <w:rPr>
          <w:lang w:val="en-US"/>
        </w:rPr>
        <w:t>experiencing a lower local R</w:t>
      </w:r>
      <w:r w:rsidR="00B95EFB">
        <w:rPr>
          <w:vertAlign w:val="subscript"/>
          <w:lang w:val="en-US"/>
        </w:rPr>
        <w:t>SEI</w:t>
      </w:r>
      <w:r w:rsidR="00B95EFB">
        <w:rPr>
          <w:lang w:val="en-US"/>
        </w:rPr>
        <w:t>,</w:t>
      </w:r>
      <w:r w:rsidRPr="00CE15A6">
        <w:rPr>
          <w:lang w:val="en-US"/>
        </w:rPr>
        <w:t xml:space="preserve"> and is continuously</w:t>
      </w:r>
      <w:r w:rsidR="008A228F">
        <w:rPr>
          <w:lang w:val="en-US"/>
        </w:rPr>
        <w:t xml:space="preserve"> </w:t>
      </w:r>
      <w:r w:rsidRPr="00CE15A6">
        <w:rPr>
          <w:lang w:val="en-US"/>
        </w:rPr>
        <w:t>over time. Additionally</w:t>
      </w:r>
      <w:r w:rsidR="0010135D" w:rsidRPr="00CE15A6">
        <w:rPr>
          <w:lang w:val="en-US"/>
        </w:rPr>
        <w:t>,</w:t>
      </w:r>
      <w:r w:rsidRPr="00CE15A6">
        <w:rPr>
          <w:lang w:val="en-US"/>
        </w:rPr>
        <w:t xml:space="preserve"> the electrode “grow</w:t>
      </w:r>
      <w:r w:rsidR="000D2302" w:rsidRPr="00CE15A6">
        <w:rPr>
          <w:lang w:val="en-US"/>
        </w:rPr>
        <w:t>s</w:t>
      </w:r>
      <w:r w:rsidRPr="00CE15A6">
        <w:rPr>
          <w:lang w:val="en-US"/>
        </w:rPr>
        <w:t>” over the stainless steel spacer</w:t>
      </w:r>
      <w:r w:rsidR="00B95EFB">
        <w:rPr>
          <w:lang w:val="en-US"/>
        </w:rPr>
        <w:t>, by lithium st</w:t>
      </w:r>
      <w:r w:rsidR="00E87773">
        <w:rPr>
          <w:lang w:val="en-US"/>
        </w:rPr>
        <w:t>ripping/plating</w:t>
      </w:r>
      <w:r w:rsidR="00B95EFB">
        <w:rPr>
          <w:lang w:val="en-US"/>
        </w:rPr>
        <w:t xml:space="preserve"> on the electrode edges</w:t>
      </w:r>
      <w:r w:rsidRPr="00CE15A6">
        <w:rPr>
          <w:lang w:val="en-US"/>
        </w:rPr>
        <w:t>,</w:t>
      </w:r>
      <w:r w:rsidR="000D2302" w:rsidRPr="00CE15A6">
        <w:rPr>
          <w:lang w:val="en-US"/>
        </w:rPr>
        <w:t xml:space="preserve"> </w:t>
      </w:r>
      <w:r w:rsidRPr="00CE15A6">
        <w:rPr>
          <w:lang w:val="en-US"/>
        </w:rPr>
        <w:t>to circumvent the</w:t>
      </w:r>
      <w:r w:rsidR="000D2302" w:rsidRPr="00CE15A6">
        <w:rPr>
          <w:lang w:val="en-US"/>
        </w:rPr>
        <w:t xml:space="preserve"> stack</w:t>
      </w:r>
      <w:r w:rsidRPr="00CE15A6">
        <w:rPr>
          <w:lang w:val="en-US"/>
        </w:rPr>
        <w:t xml:space="preserve"> pressure put on the electrodes surface.</w:t>
      </w:r>
      <w:r w:rsidR="000D2302" w:rsidRPr="00CE15A6">
        <w:rPr>
          <w:lang w:val="en-US"/>
        </w:rPr>
        <w:t xml:space="preserve"> Those effects are even more pronounced for pLi×AE-FEC (c) and especially pLi×AE-VC (b), where most of the stripping</w:t>
      </w:r>
      <w:r w:rsidR="00AC10DD">
        <w:rPr>
          <w:lang w:val="en-US"/>
        </w:rPr>
        <w:t>/</w:t>
      </w:r>
      <w:r w:rsidR="000D2302" w:rsidRPr="00CE15A6">
        <w:rPr>
          <w:lang w:val="en-US"/>
        </w:rPr>
        <w:t xml:space="preserve">plating seems to happen </w:t>
      </w:r>
      <w:r w:rsidR="00B95EFB">
        <w:rPr>
          <w:lang w:val="en-US"/>
        </w:rPr>
        <w:t>this way</w:t>
      </w:r>
      <w:r w:rsidR="00AC10DD">
        <w:rPr>
          <w:lang w:val="en-US"/>
        </w:rPr>
        <w:t>.</w:t>
      </w:r>
      <w:r w:rsidR="004B11C1">
        <w:rPr>
          <w:lang w:val="en-US"/>
        </w:rPr>
        <w:t xml:space="preserve"> The HSAL is easily washed away, indicating that it is </w:t>
      </w:r>
      <w:r w:rsidR="008A228F">
        <w:rPr>
          <w:lang w:val="en-US"/>
        </w:rPr>
        <w:t xml:space="preserve">rather </w:t>
      </w:r>
      <w:r w:rsidR="004B11C1">
        <w:rPr>
          <w:lang w:val="en-US"/>
        </w:rPr>
        <w:t xml:space="preserve">detached and </w:t>
      </w:r>
      <w:r w:rsidR="008A228F">
        <w:rPr>
          <w:lang w:val="en-US"/>
        </w:rPr>
        <w:t xml:space="preserve">probably also </w:t>
      </w:r>
      <w:r w:rsidR="004B11C1">
        <w:rPr>
          <w:lang w:val="en-US"/>
        </w:rPr>
        <w:t xml:space="preserve">electrochemically inactive (so-called </w:t>
      </w:r>
      <w:r w:rsidR="004B11C1" w:rsidRPr="00CE15A6">
        <w:rPr>
          <w:lang w:val="en-US"/>
        </w:rPr>
        <w:t>“dead lithium”</w:t>
      </w:r>
      <w:r w:rsidR="004B11C1">
        <w:rPr>
          <w:lang w:val="en-US"/>
        </w:rPr>
        <w:t>)</w:t>
      </w:r>
      <w:r w:rsidR="004B11C1" w:rsidRPr="004B11C1">
        <w:rPr>
          <w:lang w:val="en-US"/>
        </w:rPr>
        <w:t xml:space="preserve"> </w:t>
      </w:r>
      <w:r w:rsidR="00F65E32" w:rsidRPr="00F65E32">
        <w:rPr>
          <w:noProof/>
          <w:lang w:val="en-US"/>
        </w:rPr>
        <w:t>[58]</w:t>
      </w:r>
      <w:r w:rsidR="004B11C1">
        <w:rPr>
          <w:lang w:val="en-US"/>
        </w:rPr>
        <w:t xml:space="preserve"> from the lithium bulk.</w:t>
      </w:r>
      <w:r w:rsidR="00AC10DD">
        <w:rPr>
          <w:lang w:val="en-US"/>
        </w:rPr>
        <w:t xml:space="preserve"> The</w:t>
      </w:r>
      <w:r w:rsidR="000D2302" w:rsidRPr="00CE15A6">
        <w:rPr>
          <w:lang w:val="en-US"/>
        </w:rPr>
        <w:t xml:space="preserve"> SEM images </w:t>
      </w:r>
      <w:r w:rsidR="00AC10DD">
        <w:rPr>
          <w:lang w:val="en-US"/>
        </w:rPr>
        <w:t xml:space="preserve">for </w:t>
      </w:r>
      <w:r w:rsidR="00AC10DD" w:rsidRPr="00CE15A6">
        <w:rPr>
          <w:lang w:val="en-US"/>
        </w:rPr>
        <w:t xml:space="preserve">pLi×AE-VC </w:t>
      </w:r>
      <w:r w:rsidR="000D2302" w:rsidRPr="00CE15A6">
        <w:rPr>
          <w:lang w:val="en-US"/>
        </w:rPr>
        <w:t>reveal that most of the electrode surface is untouched after 50 stripping/plating cycles.</w:t>
      </w:r>
      <w:r w:rsidRPr="00CE15A6">
        <w:rPr>
          <w:lang w:val="en-US"/>
        </w:rPr>
        <w:t xml:space="preserve"> If the </w:t>
      </w:r>
      <w:r w:rsidR="00E87773">
        <w:rPr>
          <w:lang w:val="en-US"/>
        </w:rPr>
        <w:t>NPL</w:t>
      </w:r>
      <w:r w:rsidRPr="00CE15A6">
        <w:rPr>
          <w:lang w:val="en-US"/>
        </w:rPr>
        <w:t xml:space="preserve"> </w:t>
      </w:r>
      <w:r w:rsidR="00B30EB9">
        <w:rPr>
          <w:lang w:val="en-US"/>
        </w:rPr>
        <w:t xml:space="preserve">gets </w:t>
      </w:r>
      <w:r w:rsidRPr="00CE15A6">
        <w:rPr>
          <w:lang w:val="en-US"/>
        </w:rPr>
        <w:t>replaced by a pSEI i</w:t>
      </w:r>
      <w:r w:rsidR="000D2302" w:rsidRPr="00CE15A6">
        <w:rPr>
          <w:lang w:val="en-US"/>
        </w:rPr>
        <w:t>n the BE@Li×BE setup (d</w:t>
      </w:r>
      <w:r w:rsidRPr="00CE15A6">
        <w:rPr>
          <w:lang w:val="en-US"/>
        </w:rPr>
        <w:t xml:space="preserve">), </w:t>
      </w:r>
      <w:r w:rsidR="000D2302" w:rsidRPr="00CE15A6">
        <w:rPr>
          <w:lang w:val="en-US"/>
        </w:rPr>
        <w:t xml:space="preserve">most </w:t>
      </w:r>
      <w:r w:rsidRPr="00CE15A6">
        <w:rPr>
          <w:lang w:val="en-US"/>
        </w:rPr>
        <w:t>stripping</w:t>
      </w:r>
      <w:r w:rsidR="000D2302" w:rsidRPr="00CE15A6">
        <w:rPr>
          <w:lang w:val="en-US"/>
        </w:rPr>
        <w:t>/</w:t>
      </w:r>
      <w:r w:rsidRPr="00CE15A6">
        <w:rPr>
          <w:lang w:val="en-US"/>
        </w:rPr>
        <w:t xml:space="preserve">plating </w:t>
      </w:r>
      <w:r w:rsidR="004A65B7" w:rsidRPr="00CE15A6">
        <w:rPr>
          <w:lang w:val="en-US"/>
        </w:rPr>
        <w:t xml:space="preserve">takes place </w:t>
      </w:r>
      <w:r w:rsidRPr="00CE15A6">
        <w:rPr>
          <w:lang w:val="en-US"/>
        </w:rPr>
        <w:t xml:space="preserve">on the electrode surface. The </w:t>
      </w:r>
      <w:r w:rsidR="00B30EB9">
        <w:rPr>
          <w:lang w:val="en-US"/>
        </w:rPr>
        <w:t xml:space="preserve">complete </w:t>
      </w:r>
      <w:r w:rsidRPr="00CE15A6">
        <w:rPr>
          <w:lang w:val="en-US"/>
        </w:rPr>
        <w:t>surface is covered in a homogeneous HSAL, clearly showing that a pSEI based on BE will promote a homogeneous lithium stripping</w:t>
      </w:r>
      <w:r w:rsidR="000D2302" w:rsidRPr="00CE15A6">
        <w:rPr>
          <w:lang w:val="en-US"/>
        </w:rPr>
        <w:t>/</w:t>
      </w:r>
      <w:r w:rsidRPr="00CE15A6">
        <w:rPr>
          <w:lang w:val="en-US"/>
        </w:rPr>
        <w:t xml:space="preserve">plating, which is hindered by the </w:t>
      </w:r>
      <w:r w:rsidR="003F3C0F">
        <w:rPr>
          <w:lang w:val="en-US"/>
        </w:rPr>
        <w:t>NPL</w:t>
      </w:r>
      <w:r w:rsidRPr="00CE15A6">
        <w:rPr>
          <w:lang w:val="en-US"/>
        </w:rPr>
        <w:t xml:space="preserve"> on pLi</w:t>
      </w:r>
      <w:r w:rsidR="005F625D" w:rsidRPr="00CE15A6">
        <w:rPr>
          <w:lang w:val="en-US"/>
        </w:rPr>
        <w:t>. The electrodes originating from the AE</w:t>
      </w:r>
      <w:r w:rsidR="005F625D" w:rsidRPr="00CE15A6">
        <w:rPr>
          <w:lang w:val="en-US"/>
        </w:rPr>
        <w:noBreakHyphen/>
        <w:t>VC@Li×AE</w:t>
      </w:r>
      <w:r w:rsidR="005F625D" w:rsidRPr="00CE15A6">
        <w:rPr>
          <w:lang w:val="en-US"/>
        </w:rPr>
        <w:noBreakHyphen/>
        <w:t>VC (e</w:t>
      </w:r>
      <w:r w:rsidRPr="00CE15A6">
        <w:rPr>
          <w:lang w:val="en-US"/>
        </w:rPr>
        <w:t>)</w:t>
      </w:r>
      <w:r w:rsidR="005F625D" w:rsidRPr="00CE15A6">
        <w:rPr>
          <w:lang w:val="en-US"/>
        </w:rPr>
        <w:t xml:space="preserve"> setups reveal a </w:t>
      </w:r>
      <w:r w:rsidR="003D0F88" w:rsidRPr="00CE15A6">
        <w:rPr>
          <w:lang w:val="en-US"/>
        </w:rPr>
        <w:t xml:space="preserve">rougher surface, </w:t>
      </w:r>
      <w:r w:rsidR="008A7A0A" w:rsidRPr="00CE15A6">
        <w:rPr>
          <w:lang w:val="en-US"/>
        </w:rPr>
        <w:t>supporting the hypothesis</w:t>
      </w:r>
      <w:r w:rsidRPr="00CE15A6">
        <w:rPr>
          <w:lang w:val="en-US"/>
        </w:rPr>
        <w:t xml:space="preserve"> that </w:t>
      </w:r>
      <w:r w:rsidR="008A7A0A" w:rsidRPr="00CE15A6">
        <w:rPr>
          <w:lang w:val="en-US"/>
        </w:rPr>
        <w:t xml:space="preserve">highly resistive </w:t>
      </w:r>
      <w:r w:rsidRPr="00CE15A6">
        <w:rPr>
          <w:lang w:val="en-US"/>
        </w:rPr>
        <w:t>VC</w:t>
      </w:r>
      <w:r w:rsidR="008A7A0A" w:rsidRPr="00CE15A6">
        <w:rPr>
          <w:lang w:val="en-US"/>
        </w:rPr>
        <w:t>-Li reaction products</w:t>
      </w:r>
      <w:r w:rsidRPr="00CE15A6">
        <w:rPr>
          <w:lang w:val="en-US"/>
        </w:rPr>
        <w:t xml:space="preserve"> </w:t>
      </w:r>
      <w:r w:rsidR="008A7A0A" w:rsidRPr="00CE15A6">
        <w:rPr>
          <w:lang w:val="en-US"/>
        </w:rPr>
        <w:t>inhibit</w:t>
      </w:r>
      <w:r w:rsidRPr="00CE15A6">
        <w:rPr>
          <w:lang w:val="en-US"/>
        </w:rPr>
        <w:t xml:space="preserve"> homogeneous stripping</w:t>
      </w:r>
      <w:r w:rsidR="003D0F88" w:rsidRPr="00CE15A6">
        <w:rPr>
          <w:lang w:val="en-US"/>
        </w:rPr>
        <w:t>/</w:t>
      </w:r>
      <w:r w:rsidRPr="00CE15A6">
        <w:rPr>
          <w:lang w:val="en-US"/>
        </w:rPr>
        <w:t>plating.</w:t>
      </w:r>
      <w:r w:rsidR="003D0F88" w:rsidRPr="00CE15A6">
        <w:rPr>
          <w:lang w:val="en-US"/>
        </w:rPr>
        <w:t xml:space="preserve"> However, compared to pLi×AE</w:t>
      </w:r>
      <w:r w:rsidR="003D0F88" w:rsidRPr="00CE15A6">
        <w:rPr>
          <w:lang w:val="en-US"/>
        </w:rPr>
        <w:noBreakHyphen/>
        <w:t>VC, not as much sideway growth is observable.</w:t>
      </w:r>
      <w:r w:rsidRPr="00CE15A6">
        <w:rPr>
          <w:lang w:val="en-US"/>
        </w:rPr>
        <w:t xml:space="preserve"> </w:t>
      </w:r>
      <w:r w:rsidR="007D4E85" w:rsidRPr="00CE15A6">
        <w:rPr>
          <w:lang w:val="en-US"/>
        </w:rPr>
        <w:t>The optical analysis of AE</w:t>
      </w:r>
      <w:r w:rsidR="007D4E85" w:rsidRPr="00CE15A6">
        <w:rPr>
          <w:lang w:val="en-US"/>
        </w:rPr>
        <w:noBreakHyphen/>
        <w:t>FEC@Li×AE</w:t>
      </w:r>
      <w:r w:rsidR="007D4E85" w:rsidRPr="00CE15A6">
        <w:rPr>
          <w:lang w:val="en-US"/>
        </w:rPr>
        <w:noBreakHyphen/>
        <w:t>FEC (f) reveals a more homogeneous surface morphology after stripping/plating compared to AE</w:t>
      </w:r>
      <w:r w:rsidR="007D4E85" w:rsidRPr="00CE15A6">
        <w:rPr>
          <w:lang w:val="en-US"/>
        </w:rPr>
        <w:noBreakHyphen/>
        <w:t>VC@Li×AE</w:t>
      </w:r>
      <w:r w:rsidR="007D4E85" w:rsidRPr="00CE15A6">
        <w:rPr>
          <w:lang w:val="en-US"/>
        </w:rPr>
        <w:noBreakHyphen/>
        <w:t xml:space="preserve">VC, </w:t>
      </w:r>
      <w:r w:rsidR="00B30EB9">
        <w:rPr>
          <w:lang w:val="en-US"/>
        </w:rPr>
        <w:t xml:space="preserve">however </w:t>
      </w:r>
      <w:r w:rsidR="007D4E85" w:rsidRPr="00CE15A6">
        <w:rPr>
          <w:lang w:val="en-US"/>
        </w:rPr>
        <w:t xml:space="preserve">less homogeneous </w:t>
      </w:r>
      <w:r w:rsidR="00AC10DD">
        <w:rPr>
          <w:lang w:val="en-US"/>
        </w:rPr>
        <w:t>than</w:t>
      </w:r>
      <w:r w:rsidR="007D4E85" w:rsidRPr="00CE15A6">
        <w:rPr>
          <w:lang w:val="en-US"/>
        </w:rPr>
        <w:t xml:space="preserve"> BE@Li×BE.</w:t>
      </w:r>
      <w:r w:rsidR="008A3252" w:rsidRPr="00CE15A6">
        <w:rPr>
          <w:lang w:val="en-US"/>
        </w:rPr>
        <w:t xml:space="preserve"> Consequently, the</w:t>
      </w:r>
      <w:r w:rsidR="008A7A0A" w:rsidRPr="00CE15A6">
        <w:rPr>
          <w:lang w:val="en-US"/>
        </w:rPr>
        <w:t xml:space="preserve"> overall R</w:t>
      </w:r>
      <w:r w:rsidR="008A7A0A" w:rsidRPr="00CE15A6">
        <w:rPr>
          <w:vertAlign w:val="subscript"/>
          <w:lang w:val="en-US"/>
        </w:rPr>
        <w:t>SEI</w:t>
      </w:r>
      <w:r w:rsidR="008A3252" w:rsidRPr="00CE15A6">
        <w:rPr>
          <w:lang w:val="en-US"/>
        </w:rPr>
        <w:t xml:space="preserve"> of AE</w:t>
      </w:r>
      <w:r w:rsidR="008A3252" w:rsidRPr="00CE15A6">
        <w:rPr>
          <w:lang w:val="en-US"/>
        </w:rPr>
        <w:noBreakHyphen/>
        <w:t>FEC@Li</w:t>
      </w:r>
      <w:r w:rsidR="00AC10DD" w:rsidRPr="00CE15A6">
        <w:rPr>
          <w:lang w:val="en-US"/>
        </w:rPr>
        <w:t>×AE</w:t>
      </w:r>
      <w:r w:rsidR="00AC10DD" w:rsidRPr="00CE15A6">
        <w:rPr>
          <w:lang w:val="en-US"/>
        </w:rPr>
        <w:noBreakHyphen/>
        <w:t>FEC</w:t>
      </w:r>
      <w:r w:rsidR="008A3252" w:rsidRPr="00CE15A6">
        <w:rPr>
          <w:lang w:val="en-US"/>
        </w:rPr>
        <w:t xml:space="preserve"> does not </w:t>
      </w:r>
      <w:r w:rsidR="008A7A0A" w:rsidRPr="00CE15A6">
        <w:rPr>
          <w:lang w:val="en-US"/>
        </w:rPr>
        <w:t xml:space="preserve">strictly correlate to a homogeneous stripping/plating behavior. </w:t>
      </w:r>
    </w:p>
    <w:p w14:paraId="57926777" w14:textId="4460DC23" w:rsidR="00AC10DD" w:rsidRDefault="00732638" w:rsidP="00AC10DD">
      <w:pPr>
        <w:keepNext/>
        <w:jc w:val="both"/>
      </w:pPr>
      <w:r w:rsidRPr="00732638">
        <w:rPr>
          <w:noProof/>
          <w:lang w:eastAsia="de-DE"/>
        </w:rPr>
        <w:lastRenderedPageBreak/>
        <w:drawing>
          <wp:inline distT="0" distB="0" distL="0" distR="0" wp14:anchorId="3F0AD7C3" wp14:editId="4899AC9B">
            <wp:extent cx="5760720" cy="4569303"/>
            <wp:effectExtent l="0" t="0" r="0" b="3175"/>
            <wp:docPr id="14" name="Grafik 14" descr="M:\Gruppen\Flüssigelektrolyte\_PROJECTS\LILLINT\Paper\Pretreatment-Method-Paper\Figures\Fig7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Gruppen\Flüssigelektrolyte\_PROJECTS\LILLINT\Paper\Pretreatment-Method-Paper\Figures\Fig7_HR.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569303"/>
                    </a:xfrm>
                    <a:prstGeom prst="rect">
                      <a:avLst/>
                    </a:prstGeom>
                    <a:noFill/>
                    <a:ln>
                      <a:noFill/>
                    </a:ln>
                  </pic:spPr>
                </pic:pic>
              </a:graphicData>
            </a:graphic>
          </wp:inline>
        </w:drawing>
      </w:r>
    </w:p>
    <w:p w14:paraId="20FB215D" w14:textId="02F67E1A" w:rsidR="009F7253" w:rsidRPr="00AC10DD" w:rsidRDefault="00AC10DD" w:rsidP="00AC10DD">
      <w:pPr>
        <w:pStyle w:val="Untertitel"/>
      </w:pPr>
      <w:bookmarkStart w:id="8" w:name="_Ref104294888"/>
      <w:r w:rsidRPr="00AC10DD">
        <w:t xml:space="preserve">Fig. </w:t>
      </w:r>
      <w:r w:rsidR="007160F2">
        <w:rPr>
          <w:noProof/>
        </w:rPr>
        <w:t>7</w:t>
      </w:r>
      <w:bookmarkStart w:id="9" w:name="_Ref93931088"/>
      <w:bookmarkEnd w:id="8"/>
      <w:r w:rsidRPr="00AC10DD">
        <w:t>.</w:t>
      </w:r>
      <w:r w:rsidR="00721A61" w:rsidRPr="00AC10DD">
        <w:rPr>
          <w:b/>
        </w:rPr>
        <w:t xml:space="preserve"> </w:t>
      </w:r>
      <w:r w:rsidR="009F7253" w:rsidRPr="00AC10DD">
        <w:rPr>
          <w:i/>
        </w:rPr>
        <w:t>Post mortem</w:t>
      </w:r>
      <w:r w:rsidR="009F7253" w:rsidRPr="00AC10DD">
        <w:t xml:space="preserve"> optical analysis </w:t>
      </w:r>
      <w:r w:rsidR="009F7253" w:rsidRPr="00AC10DD">
        <w:rPr>
          <w:i/>
        </w:rPr>
        <w:t>via</w:t>
      </w:r>
      <w:r w:rsidR="009F7253" w:rsidRPr="00AC10DD">
        <w:t xml:space="preserve"> SEM and </w:t>
      </w:r>
      <w:r w:rsidR="00A0526E">
        <w:t xml:space="preserve">photography </w:t>
      </w:r>
      <w:r w:rsidR="009F7253" w:rsidRPr="00AC10DD">
        <w:t>(in</w:t>
      </w:r>
      <w:r w:rsidR="00A0526E">
        <w:t>sert</w:t>
      </w:r>
      <w:r w:rsidR="00D67A83" w:rsidRPr="00AC10DD">
        <w:t>, not washed</w:t>
      </w:r>
      <w:r w:rsidR="009F7253" w:rsidRPr="00AC10DD">
        <w:t>) of lithium metal electrodes</w:t>
      </w:r>
      <w:r w:rsidR="008A7A0A" w:rsidRPr="00AC10DD">
        <w:t xml:space="preserve"> </w:t>
      </w:r>
      <w:r w:rsidR="009F7253" w:rsidRPr="00AC10DD">
        <w:t xml:space="preserve">after 50 </w:t>
      </w:r>
      <w:r w:rsidR="007D4E85" w:rsidRPr="00AC10DD">
        <w:t>c</w:t>
      </w:r>
      <w:r w:rsidR="009F7253" w:rsidRPr="00AC10DD">
        <w:t>ycles at 0.5 mA cm</w:t>
      </w:r>
      <w:r w:rsidR="009F7253" w:rsidRPr="00AC10DD">
        <w:rPr>
          <w:vertAlign w:val="superscript"/>
        </w:rPr>
        <w:noBreakHyphen/>
        <w:t>2</w:t>
      </w:r>
      <w:r w:rsidR="009F7253" w:rsidRPr="00AC10DD">
        <w:t xml:space="preserve"> (1 h stripping and 1 h plating): a) pLi×BE, b) </w:t>
      </w:r>
      <w:r w:rsidR="008A7A0A" w:rsidRPr="00AC10DD">
        <w:t>pLi</w:t>
      </w:r>
      <w:r w:rsidR="009F7253" w:rsidRPr="00AC10DD">
        <w:t>×</w:t>
      </w:r>
      <w:r w:rsidR="008A7A0A" w:rsidRPr="00AC10DD">
        <w:t>AE</w:t>
      </w:r>
      <w:r w:rsidR="008A7A0A" w:rsidRPr="00AC10DD">
        <w:noBreakHyphen/>
        <w:t>VC</w:t>
      </w:r>
      <w:r w:rsidR="009F7253" w:rsidRPr="00AC10DD">
        <w:t xml:space="preserve">, c) </w:t>
      </w:r>
      <w:r w:rsidR="008A7A0A" w:rsidRPr="00AC10DD">
        <w:t>pLi</w:t>
      </w:r>
      <w:r w:rsidR="009F7253" w:rsidRPr="00AC10DD">
        <w:t>×</w:t>
      </w:r>
      <w:r w:rsidR="008A7A0A" w:rsidRPr="00AC10DD">
        <w:t>AE</w:t>
      </w:r>
      <w:r w:rsidR="008A7A0A" w:rsidRPr="00AC10DD">
        <w:noBreakHyphen/>
        <w:t>FEC</w:t>
      </w:r>
      <w:r w:rsidR="009F7253" w:rsidRPr="00AC10DD">
        <w:t xml:space="preserve">, d) </w:t>
      </w:r>
      <w:r w:rsidR="008A7A0A" w:rsidRPr="00AC10DD">
        <w:t>BE@Li</w:t>
      </w:r>
      <w:r w:rsidR="009F7253" w:rsidRPr="00AC10DD">
        <w:t>×</w:t>
      </w:r>
      <w:r w:rsidR="008A7A0A" w:rsidRPr="00AC10DD">
        <w:t>BE, e) AE</w:t>
      </w:r>
      <w:r w:rsidR="008A7A0A" w:rsidRPr="00AC10DD">
        <w:noBreakHyphen/>
        <w:t>VC</w:t>
      </w:r>
      <w:r w:rsidR="009F7253" w:rsidRPr="00AC10DD">
        <w:t>@Li×AE</w:t>
      </w:r>
      <w:r w:rsidR="009F7253" w:rsidRPr="00AC10DD">
        <w:noBreakHyphen/>
        <w:t>VC and f) AE</w:t>
      </w:r>
      <w:r w:rsidR="009F7253" w:rsidRPr="00AC10DD">
        <w:noBreakHyphen/>
      </w:r>
      <w:r w:rsidR="008A7A0A" w:rsidRPr="00AC10DD">
        <w:t>FEC</w:t>
      </w:r>
      <w:r w:rsidR="009F7253" w:rsidRPr="00AC10DD">
        <w:t>@Li×AE</w:t>
      </w:r>
      <w:r w:rsidR="009F7253" w:rsidRPr="00AC10DD">
        <w:noBreakHyphen/>
      </w:r>
      <w:r w:rsidR="008A7A0A" w:rsidRPr="00AC10DD">
        <w:t>FEC</w:t>
      </w:r>
      <w:r w:rsidR="009F7253" w:rsidRPr="00AC10DD">
        <w:t>.</w:t>
      </w:r>
      <w:bookmarkEnd w:id="9"/>
    </w:p>
    <w:p w14:paraId="6BD5BE73" w14:textId="38A64494" w:rsidR="009F7253" w:rsidRPr="002A5A88" w:rsidRDefault="002A5A88" w:rsidP="00AC10DD">
      <w:pPr>
        <w:pStyle w:val="Beschriftung"/>
        <w:rPr>
          <w:lang w:val="en-US"/>
        </w:rPr>
      </w:pPr>
      <w:r w:rsidRPr="00A8061A">
        <w:rPr>
          <w:lang w:val="en-US"/>
        </w:rPr>
        <w:t>In summary, the SEM and optical analysis, combined with the results of the conducted electrochemical characterization and known literature [17, 55] allow for the following conclusions: The NPL on pLi and the functional additive VC inhibit a homogeneous stripping/plating behavior. The setup BE@Li×BE (d) is the only cell setup showing a completely homogeneous stripping/plating behavior, which is an indication for a homogeneous current density distribution and no local current density maxima exceeding the global applied current density. Opposite to this, the limited area, experiencing stripping/plating in the pLi×AE</w:t>
      </w:r>
      <w:r w:rsidRPr="00A8061A">
        <w:rPr>
          <w:lang w:val="en-US"/>
        </w:rPr>
        <w:noBreakHyphen/>
        <w:t>VC setup, is exposed to a much higher local current density, which consequentially promotes undesired dendrite growth. In the comparison of the two functional additives, FEC seems to promote a more homogeneous stripping/plating behavior compared to VC.</w:t>
      </w:r>
    </w:p>
    <w:p w14:paraId="178E62D6" w14:textId="49AD5E22" w:rsidR="009F7253" w:rsidRPr="00CE15A6" w:rsidRDefault="008E18E1" w:rsidP="009F2841">
      <w:pPr>
        <w:pStyle w:val="MT1"/>
      </w:pPr>
      <w:r>
        <w:t xml:space="preserve">Insights into </w:t>
      </w:r>
      <w:r w:rsidR="00F15C1B">
        <w:t xml:space="preserve">the </w:t>
      </w:r>
      <w:r>
        <w:t>c</w:t>
      </w:r>
      <w:r w:rsidR="009F7253" w:rsidRPr="00CE15A6">
        <w:t xml:space="preserve">hemical </w:t>
      </w:r>
      <w:r w:rsidR="00B3640D">
        <w:t>c</w:t>
      </w:r>
      <w:r w:rsidR="009F7253" w:rsidRPr="00CE15A6">
        <w:t>omposition</w:t>
      </w:r>
      <w:r w:rsidR="00F15C1B">
        <w:t xml:space="preserve"> of a pSEI</w:t>
      </w:r>
    </w:p>
    <w:p w14:paraId="7809232A" w14:textId="094CA4F6" w:rsidR="00240354" w:rsidRPr="00A8061A" w:rsidRDefault="00AC10DD" w:rsidP="00AC10DD">
      <w:pPr>
        <w:pStyle w:val="Beschriftung"/>
        <w:rPr>
          <w:lang w:val="en-US"/>
        </w:rPr>
      </w:pPr>
      <w:r>
        <w:rPr>
          <w:lang w:val="en-US"/>
        </w:rPr>
        <w:t>T</w:t>
      </w:r>
      <w:r w:rsidR="00A5109C">
        <w:rPr>
          <w:lang w:val="en-US"/>
        </w:rPr>
        <w:t xml:space="preserve">he </w:t>
      </w:r>
      <w:r w:rsidR="00EF7501">
        <w:rPr>
          <w:lang w:val="en-US"/>
        </w:rPr>
        <w:t>differences</w:t>
      </w:r>
      <w:r w:rsidR="00A5109C">
        <w:rPr>
          <w:lang w:val="en-US"/>
        </w:rPr>
        <w:t xml:space="preserve"> in electrochemical performance and stripping/plating behavior</w:t>
      </w:r>
      <w:r w:rsidR="00EF7501">
        <w:rPr>
          <w:lang w:val="en-US"/>
        </w:rPr>
        <w:t xml:space="preserve"> </w:t>
      </w:r>
      <w:r w:rsidR="00A5109C">
        <w:rPr>
          <w:lang w:val="en-US"/>
        </w:rPr>
        <w:t xml:space="preserve">between the pSEI containing setups </w:t>
      </w:r>
      <w:r w:rsidR="000E71FD">
        <w:rPr>
          <w:lang w:val="en-US"/>
        </w:rPr>
        <w:t>(</w:t>
      </w:r>
      <w:r w:rsidR="00A5109C">
        <w:rPr>
          <w:lang w:val="en-US"/>
        </w:rPr>
        <w:t>BE@Li</w:t>
      </w:r>
      <w:r w:rsidR="00A5109C" w:rsidRPr="00A5109C">
        <w:rPr>
          <w:lang w:val="en-US"/>
        </w:rPr>
        <w:t>×BE</w:t>
      </w:r>
      <w:r w:rsidR="00A5109C">
        <w:rPr>
          <w:lang w:val="en-US"/>
        </w:rPr>
        <w:t>, AE</w:t>
      </w:r>
      <w:r w:rsidR="00A5109C">
        <w:rPr>
          <w:lang w:val="en-US"/>
        </w:rPr>
        <w:noBreakHyphen/>
        <w:t>VC@Li</w:t>
      </w:r>
      <w:r w:rsidR="00A5109C" w:rsidRPr="00A5109C">
        <w:rPr>
          <w:lang w:val="en-US"/>
        </w:rPr>
        <w:t>×</w:t>
      </w:r>
      <w:r w:rsidR="00A5109C">
        <w:rPr>
          <w:lang w:val="en-US"/>
        </w:rPr>
        <w:t>AE</w:t>
      </w:r>
      <w:r w:rsidR="00A5109C">
        <w:rPr>
          <w:lang w:val="en-US"/>
        </w:rPr>
        <w:noBreakHyphen/>
        <w:t>VC and AE</w:t>
      </w:r>
      <w:r w:rsidR="00A5109C">
        <w:rPr>
          <w:lang w:val="en-US"/>
        </w:rPr>
        <w:noBreakHyphen/>
        <w:t>FEC@Li</w:t>
      </w:r>
      <w:r w:rsidR="00A5109C" w:rsidRPr="00A5109C">
        <w:rPr>
          <w:lang w:val="en-US"/>
        </w:rPr>
        <w:t>×</w:t>
      </w:r>
      <w:r w:rsidR="00A5109C">
        <w:rPr>
          <w:lang w:val="en-US"/>
        </w:rPr>
        <w:t>AE</w:t>
      </w:r>
      <w:r w:rsidR="00A5109C">
        <w:rPr>
          <w:lang w:val="en-US"/>
        </w:rPr>
        <w:noBreakHyphen/>
        <w:t>FEC</w:t>
      </w:r>
      <w:r w:rsidR="000E71FD">
        <w:rPr>
          <w:lang w:val="en-US"/>
        </w:rPr>
        <w:t>)</w:t>
      </w:r>
      <w:r w:rsidR="00A5109C">
        <w:rPr>
          <w:lang w:val="en-US"/>
        </w:rPr>
        <w:t xml:space="preserve"> ha</w:t>
      </w:r>
      <w:r w:rsidR="00A0526E">
        <w:rPr>
          <w:lang w:val="en-US"/>
        </w:rPr>
        <w:t>ve</w:t>
      </w:r>
      <w:r>
        <w:rPr>
          <w:lang w:val="en-US"/>
        </w:rPr>
        <w:t xml:space="preserve"> to originate from</w:t>
      </w:r>
      <w:r w:rsidR="000E71FD">
        <w:rPr>
          <w:lang w:val="en-US"/>
        </w:rPr>
        <w:t xml:space="preserve"> </w:t>
      </w:r>
      <w:r>
        <w:rPr>
          <w:lang w:val="en-US"/>
        </w:rPr>
        <w:t>different pSEI</w:t>
      </w:r>
      <w:r w:rsidR="00A5109C">
        <w:rPr>
          <w:lang w:val="en-US"/>
        </w:rPr>
        <w:t xml:space="preserve"> chemical </w:t>
      </w:r>
      <w:r w:rsidR="000E71FD">
        <w:rPr>
          <w:lang w:val="en-US"/>
        </w:rPr>
        <w:t>compositions</w:t>
      </w:r>
      <w:r>
        <w:rPr>
          <w:lang w:val="en-US"/>
        </w:rPr>
        <w:t xml:space="preserve"> caused by different electrolyte formulations</w:t>
      </w:r>
      <w:r w:rsidR="000E71FD">
        <w:rPr>
          <w:lang w:val="en-US"/>
        </w:rPr>
        <w:t xml:space="preserve">. Since the </w:t>
      </w:r>
      <w:r w:rsidR="003F3C0F">
        <w:rPr>
          <w:lang w:val="en-US"/>
        </w:rPr>
        <w:t>NPL</w:t>
      </w:r>
      <w:r w:rsidR="000E71FD">
        <w:rPr>
          <w:lang w:val="en-US"/>
        </w:rPr>
        <w:t xml:space="preserve"> was removed by the method presented in this study, this is the first time an </w:t>
      </w:r>
      <w:r>
        <w:rPr>
          <w:lang w:val="en-US"/>
        </w:rPr>
        <w:t xml:space="preserve">as-defined and </w:t>
      </w:r>
      <w:r w:rsidR="00A0526E">
        <w:rPr>
          <w:lang w:val="en-US"/>
        </w:rPr>
        <w:t xml:space="preserve">not by an NPL </w:t>
      </w:r>
      <w:r>
        <w:rPr>
          <w:lang w:val="en-US"/>
        </w:rPr>
        <w:t>contaminated</w:t>
      </w:r>
      <w:r w:rsidR="000E71FD">
        <w:rPr>
          <w:lang w:val="en-US"/>
        </w:rPr>
        <w:t xml:space="preserve"> SEI </w:t>
      </w:r>
      <w:r>
        <w:rPr>
          <w:lang w:val="en-US"/>
        </w:rPr>
        <w:t xml:space="preserve">was </w:t>
      </w:r>
      <w:r w:rsidR="000E71FD">
        <w:rPr>
          <w:lang w:val="en-US"/>
        </w:rPr>
        <w:t xml:space="preserve">analyzed by </w:t>
      </w:r>
      <w:r w:rsidR="000E71FD">
        <w:rPr>
          <w:i/>
          <w:lang w:val="en-US"/>
        </w:rPr>
        <w:t xml:space="preserve">post </w:t>
      </w:r>
      <w:r w:rsidR="000E71FD" w:rsidRPr="000E71FD">
        <w:rPr>
          <w:i/>
          <w:lang w:val="en-US"/>
        </w:rPr>
        <w:t>mortem</w:t>
      </w:r>
      <w:r w:rsidR="000E71FD">
        <w:rPr>
          <w:lang w:val="en-US"/>
        </w:rPr>
        <w:t xml:space="preserve"> Raman </w:t>
      </w:r>
      <w:r w:rsidR="00044AD6">
        <w:rPr>
          <w:lang w:val="en-US"/>
        </w:rPr>
        <w:t xml:space="preserve">spectroscopy </w:t>
      </w:r>
      <w:r w:rsidR="000E71FD">
        <w:rPr>
          <w:lang w:val="en-US"/>
        </w:rPr>
        <w:t xml:space="preserve">after </w:t>
      </w:r>
      <w:r w:rsidR="00B67B81">
        <w:rPr>
          <w:lang w:val="en-US"/>
        </w:rPr>
        <w:t>five</w:t>
      </w:r>
      <w:r w:rsidR="000E71FD">
        <w:rPr>
          <w:lang w:val="en-US"/>
        </w:rPr>
        <w:t xml:space="preserve"> stripping/plating </w:t>
      </w:r>
      <w:r w:rsidR="000E71FD" w:rsidRPr="000E71FD">
        <w:rPr>
          <w:lang w:val="en-US"/>
        </w:rPr>
        <w:t>cycles (</w:t>
      </w:r>
      <w:r w:rsidR="00F15C1B" w:rsidRPr="00F15C1B">
        <w:rPr>
          <w:lang w:val="en-US"/>
        </w:rPr>
        <w:t xml:space="preserve">Fig. </w:t>
      </w:r>
      <w:r w:rsidR="00F15C1B" w:rsidRPr="00F15C1B">
        <w:rPr>
          <w:noProof/>
          <w:lang w:val="en-US"/>
        </w:rPr>
        <w:t>8</w:t>
      </w:r>
      <w:r w:rsidR="000E71FD" w:rsidRPr="000E71FD">
        <w:rPr>
          <w:lang w:val="en-US"/>
        </w:rPr>
        <w:t>)</w:t>
      </w:r>
      <w:r>
        <w:rPr>
          <w:lang w:val="en-US"/>
        </w:rPr>
        <w:t xml:space="preserve">, </w:t>
      </w:r>
      <w:r w:rsidR="008A1F62">
        <w:rPr>
          <w:lang w:val="en-US"/>
        </w:rPr>
        <w:t>as</w:t>
      </w:r>
      <w:r>
        <w:rPr>
          <w:lang w:val="en-US"/>
        </w:rPr>
        <w:t xml:space="preserve"> the </w:t>
      </w:r>
      <w:r w:rsidR="008E2385">
        <w:rPr>
          <w:i/>
          <w:lang w:val="en-US"/>
        </w:rPr>
        <w:t xml:space="preserve">operando </w:t>
      </w:r>
      <w:r>
        <w:rPr>
          <w:lang w:val="en-US"/>
        </w:rPr>
        <w:t>measured R</w:t>
      </w:r>
      <w:r>
        <w:rPr>
          <w:vertAlign w:val="subscript"/>
          <w:lang w:val="en-US"/>
        </w:rPr>
        <w:t>SEI</w:t>
      </w:r>
      <w:r>
        <w:rPr>
          <w:lang w:val="en-US"/>
        </w:rPr>
        <w:t xml:space="preserve"> values (</w:t>
      </w:r>
      <w:r w:rsidRPr="00AC10DD">
        <w:rPr>
          <w:lang w:val="en-US"/>
        </w:rPr>
        <w:t xml:space="preserve">Fig. </w:t>
      </w:r>
      <w:r w:rsidRPr="00AC10DD">
        <w:rPr>
          <w:noProof/>
          <w:lang w:val="en-US"/>
        </w:rPr>
        <w:t>7</w:t>
      </w:r>
      <w:r>
        <w:rPr>
          <w:lang w:val="en-US"/>
        </w:rPr>
        <w:t xml:space="preserve">) indicated no significant change to the </w:t>
      </w:r>
      <w:r w:rsidR="004B11C1">
        <w:rPr>
          <w:lang w:val="en-US"/>
        </w:rPr>
        <w:t>p</w:t>
      </w:r>
      <w:r>
        <w:rPr>
          <w:lang w:val="en-US"/>
        </w:rPr>
        <w:t>SEI</w:t>
      </w:r>
      <w:r w:rsidR="004B11C1">
        <w:rPr>
          <w:lang w:val="en-US"/>
        </w:rPr>
        <w:t>s</w:t>
      </w:r>
      <w:r>
        <w:rPr>
          <w:lang w:val="en-US"/>
        </w:rPr>
        <w:t xml:space="preserve"> afterwards</w:t>
      </w:r>
      <w:r w:rsidR="000E71FD" w:rsidRPr="000E71FD">
        <w:rPr>
          <w:lang w:val="en-US"/>
        </w:rPr>
        <w:t>.</w:t>
      </w:r>
      <w:r w:rsidR="00240354" w:rsidRPr="00CE15A6">
        <w:rPr>
          <w:lang w:val="en-US"/>
        </w:rPr>
        <w:t xml:space="preserve"> The recorded </w:t>
      </w:r>
      <w:r w:rsidR="00DC2A7E" w:rsidRPr="00CE15A6">
        <w:rPr>
          <w:lang w:val="en-US"/>
        </w:rPr>
        <w:t>R</w:t>
      </w:r>
      <w:r w:rsidR="008E18E1">
        <w:rPr>
          <w:lang w:val="en-US"/>
        </w:rPr>
        <w:t>aman</w:t>
      </w:r>
      <w:r w:rsidR="00240354" w:rsidRPr="00CE15A6">
        <w:rPr>
          <w:lang w:val="en-US"/>
        </w:rPr>
        <w:t xml:space="preserve"> shifts of the BE@Li×BE setup reveal a more inorganic </w:t>
      </w:r>
      <w:r w:rsidR="000E71FD">
        <w:rPr>
          <w:lang w:val="en-US"/>
        </w:rPr>
        <w:t>component</w:t>
      </w:r>
      <w:r>
        <w:rPr>
          <w:lang w:val="en-US"/>
        </w:rPr>
        <w:t>-</w:t>
      </w:r>
      <w:r w:rsidR="00240354" w:rsidRPr="00CE15A6">
        <w:rPr>
          <w:lang w:val="en-US"/>
        </w:rPr>
        <w:t xml:space="preserve">based SEI, containing mainly </w:t>
      </w:r>
      <w:r w:rsidR="00C17171">
        <w:rPr>
          <w:lang w:val="en-US"/>
        </w:rPr>
        <w:t xml:space="preserve">LiOH, </w:t>
      </w:r>
      <w:r w:rsidR="00240354" w:rsidRPr="00CE15A6">
        <w:rPr>
          <w:lang w:val="en-US"/>
        </w:rPr>
        <w:t>carbonates and esters (500</w:t>
      </w:r>
      <w:r w:rsidR="000E71FD">
        <w:rPr>
          <w:lang w:val="en-US"/>
        </w:rPr>
        <w:t xml:space="preserve"> </w:t>
      </w:r>
      <w:r w:rsidR="000E71FD" w:rsidRPr="00CE15A6">
        <w:rPr>
          <w:lang w:val="en-US"/>
        </w:rPr>
        <w:t>–</w:t>
      </w:r>
      <w:r w:rsidR="000E71FD">
        <w:rPr>
          <w:lang w:val="en-US"/>
        </w:rPr>
        <w:t xml:space="preserve"> </w:t>
      </w:r>
      <w:r w:rsidR="00C17171">
        <w:rPr>
          <w:lang w:val="en-US"/>
        </w:rPr>
        <w:t>680 cm</w:t>
      </w:r>
      <w:r w:rsidR="00C17171">
        <w:rPr>
          <w:vertAlign w:val="superscript"/>
          <w:lang w:val="en-US"/>
        </w:rPr>
        <w:noBreakHyphen/>
        <w:t>1</w:t>
      </w:r>
      <w:r w:rsidR="00C17171">
        <w:rPr>
          <w:lang w:val="en-US"/>
        </w:rPr>
        <w:t xml:space="preserve">, </w:t>
      </w:r>
      <w:r w:rsidR="00240354" w:rsidRPr="00CE15A6">
        <w:rPr>
          <w:lang w:val="en-US"/>
        </w:rPr>
        <w:t>1100</w:t>
      </w:r>
      <w:r w:rsidR="00C17171">
        <w:rPr>
          <w:lang w:val="en-US"/>
        </w:rPr>
        <w:t> </w:t>
      </w:r>
      <w:r w:rsidR="00240354" w:rsidRPr="00CE15A6">
        <w:rPr>
          <w:lang w:val="en-US"/>
        </w:rPr>
        <w:t>cm</w:t>
      </w:r>
      <w:r w:rsidR="00C17171">
        <w:rPr>
          <w:vertAlign w:val="superscript"/>
          <w:lang w:val="en-US"/>
        </w:rPr>
        <w:noBreakHyphen/>
      </w:r>
      <w:r w:rsidR="00240354" w:rsidRPr="000E71FD">
        <w:rPr>
          <w:vertAlign w:val="superscript"/>
          <w:lang w:val="en-US"/>
        </w:rPr>
        <w:t>1</w:t>
      </w:r>
      <w:r w:rsidR="00C17171">
        <w:rPr>
          <w:lang w:val="en-US"/>
        </w:rPr>
        <w:t>, 1850 cm</w:t>
      </w:r>
      <w:r w:rsidR="00C17171">
        <w:rPr>
          <w:vertAlign w:val="superscript"/>
          <w:lang w:val="en-US"/>
        </w:rPr>
        <w:t>-1</w:t>
      </w:r>
      <w:r w:rsidR="00240354" w:rsidRPr="00CE15A6">
        <w:rPr>
          <w:lang w:val="en-US"/>
        </w:rPr>
        <w:t>).</w:t>
      </w:r>
      <w:r w:rsidR="00F65E32" w:rsidRPr="00F65E32">
        <w:rPr>
          <w:noProof/>
          <w:lang w:val="en-US"/>
        </w:rPr>
        <w:t>[59–61]</w:t>
      </w:r>
      <w:r w:rsidR="00240354" w:rsidRPr="00CE15A6">
        <w:rPr>
          <w:lang w:val="en-US"/>
        </w:rPr>
        <w:t xml:space="preserve"> </w:t>
      </w:r>
      <w:r w:rsidR="00C17171">
        <w:rPr>
          <w:lang w:val="en-US"/>
        </w:rPr>
        <w:t xml:space="preserve">The </w:t>
      </w:r>
      <w:r w:rsidR="00A43182">
        <w:rPr>
          <w:lang w:val="en-US"/>
        </w:rPr>
        <w:t>presence</w:t>
      </w:r>
      <w:r w:rsidR="00C17171">
        <w:rPr>
          <w:lang w:val="en-US"/>
        </w:rPr>
        <w:t xml:space="preserve"> of VC in the</w:t>
      </w:r>
      <w:r w:rsidR="00240354" w:rsidRPr="00CE15A6">
        <w:rPr>
          <w:lang w:val="en-US"/>
        </w:rPr>
        <w:t xml:space="preserve"> AE</w:t>
      </w:r>
      <w:r w:rsidR="00240354" w:rsidRPr="00CE15A6">
        <w:rPr>
          <w:lang w:val="en-US"/>
        </w:rPr>
        <w:noBreakHyphen/>
        <w:t>VC@Li×AE</w:t>
      </w:r>
      <w:r w:rsidR="00240354" w:rsidRPr="00CE15A6">
        <w:rPr>
          <w:lang w:val="en-US"/>
        </w:rPr>
        <w:noBreakHyphen/>
        <w:t xml:space="preserve">VC </w:t>
      </w:r>
      <w:r w:rsidR="00C17171">
        <w:rPr>
          <w:lang w:val="en-US"/>
        </w:rPr>
        <w:t>cell setup results in</w:t>
      </w:r>
      <w:r w:rsidR="000612B6">
        <w:rPr>
          <w:lang w:val="en-US"/>
        </w:rPr>
        <w:t xml:space="preserve"> the formation of multiple</w:t>
      </w:r>
      <w:r w:rsidR="00C17171">
        <w:rPr>
          <w:lang w:val="en-US"/>
        </w:rPr>
        <w:t xml:space="preserve"> organic components </w:t>
      </w:r>
      <w:r w:rsidR="00C17171" w:rsidRPr="00A8061A">
        <w:rPr>
          <w:lang w:val="en-US"/>
        </w:rPr>
        <w:t xml:space="preserve">as part of the SEI </w:t>
      </w:r>
      <w:r w:rsidR="00240354" w:rsidRPr="00A8061A">
        <w:rPr>
          <w:lang w:val="en-US"/>
        </w:rPr>
        <w:t>(</w:t>
      </w:r>
      <w:r w:rsidR="00A43182" w:rsidRPr="00A8061A">
        <w:rPr>
          <w:lang w:val="en-US"/>
        </w:rPr>
        <w:t>2100</w:t>
      </w:r>
      <w:r w:rsidR="00240354" w:rsidRPr="00A8061A">
        <w:rPr>
          <w:lang w:val="en-US"/>
        </w:rPr>
        <w:t xml:space="preserve"> – </w:t>
      </w:r>
      <w:r w:rsidR="00A43182" w:rsidRPr="00A8061A">
        <w:rPr>
          <w:lang w:val="en-US"/>
        </w:rPr>
        <w:t>26</w:t>
      </w:r>
      <w:r w:rsidR="00240354" w:rsidRPr="00A8061A">
        <w:rPr>
          <w:lang w:val="en-US"/>
        </w:rPr>
        <w:t xml:space="preserve">00, </w:t>
      </w:r>
      <w:r w:rsidR="00A43182" w:rsidRPr="00A8061A">
        <w:rPr>
          <w:lang w:val="en-US"/>
        </w:rPr>
        <w:t>&gt;</w:t>
      </w:r>
      <w:r w:rsidR="00240354" w:rsidRPr="00A8061A">
        <w:rPr>
          <w:lang w:val="en-US"/>
        </w:rPr>
        <w:t>3</w:t>
      </w:r>
      <w:r w:rsidR="00A43182" w:rsidRPr="00A8061A">
        <w:rPr>
          <w:lang w:val="en-US"/>
        </w:rPr>
        <w:t>1</w:t>
      </w:r>
      <w:r w:rsidR="00240354" w:rsidRPr="00A8061A">
        <w:rPr>
          <w:lang w:val="en-US"/>
        </w:rPr>
        <w:t>00</w:t>
      </w:r>
      <w:r w:rsidR="00A43182" w:rsidRPr="00A8061A">
        <w:rPr>
          <w:lang w:val="en-US"/>
        </w:rPr>
        <w:t> </w:t>
      </w:r>
      <w:r w:rsidR="00240354" w:rsidRPr="00A8061A">
        <w:rPr>
          <w:lang w:val="en-US"/>
        </w:rPr>
        <w:t>cm</w:t>
      </w:r>
      <w:r w:rsidR="00240354" w:rsidRPr="00A8061A">
        <w:rPr>
          <w:vertAlign w:val="superscript"/>
          <w:lang w:val="en-US"/>
        </w:rPr>
        <w:t>-1</w:t>
      </w:r>
      <w:r w:rsidR="000612B6" w:rsidRPr="00A8061A">
        <w:rPr>
          <w:lang w:val="en-US"/>
        </w:rPr>
        <w:t>)</w:t>
      </w:r>
      <w:r w:rsidR="00F65E32" w:rsidRPr="00A8061A">
        <w:rPr>
          <w:noProof/>
          <w:lang w:val="en-US"/>
        </w:rPr>
        <w:t>[62]</w:t>
      </w:r>
      <w:r w:rsidR="00A43182" w:rsidRPr="00A8061A">
        <w:rPr>
          <w:lang w:val="en-US"/>
        </w:rPr>
        <w:t xml:space="preserve"> </w:t>
      </w:r>
      <w:r w:rsidR="000612B6" w:rsidRPr="00A8061A">
        <w:rPr>
          <w:lang w:val="en-US"/>
        </w:rPr>
        <w:t xml:space="preserve">in addition to </w:t>
      </w:r>
      <w:r w:rsidR="00413377" w:rsidRPr="00A8061A">
        <w:rPr>
          <w:lang w:val="en-US"/>
        </w:rPr>
        <w:t>some</w:t>
      </w:r>
      <w:r w:rsidR="00044AD6" w:rsidRPr="00A8061A">
        <w:rPr>
          <w:lang w:val="en-US"/>
        </w:rPr>
        <w:t xml:space="preserve"> </w:t>
      </w:r>
      <w:r w:rsidR="000612B6" w:rsidRPr="00A8061A">
        <w:rPr>
          <w:lang w:val="en-US"/>
        </w:rPr>
        <w:t xml:space="preserve">inorganic </w:t>
      </w:r>
      <w:r w:rsidR="00044AD6" w:rsidRPr="00A8061A">
        <w:rPr>
          <w:lang w:val="en-US"/>
        </w:rPr>
        <w:t xml:space="preserve">species </w:t>
      </w:r>
      <w:r w:rsidR="000612B6" w:rsidRPr="00A8061A">
        <w:rPr>
          <w:lang w:val="en-US"/>
        </w:rPr>
        <w:t>also observed for BE@Li×BE</w:t>
      </w:r>
      <w:r w:rsidR="00413377" w:rsidRPr="00A8061A">
        <w:rPr>
          <w:lang w:val="en-US"/>
        </w:rPr>
        <w:t xml:space="preserve">. Furthermore, </w:t>
      </w:r>
      <w:r w:rsidR="00413377" w:rsidRPr="00A8061A">
        <w:rPr>
          <w:i/>
          <w:lang w:val="en-US"/>
        </w:rPr>
        <w:t xml:space="preserve">post mortem </w:t>
      </w:r>
      <w:r w:rsidR="00413377" w:rsidRPr="00A8061A">
        <w:rPr>
          <w:lang w:val="en-US"/>
        </w:rPr>
        <w:t xml:space="preserve">XPS measurements </w:t>
      </w:r>
      <w:r w:rsidR="008E6300" w:rsidRPr="00A8061A">
        <w:rPr>
          <w:lang w:val="en-US"/>
        </w:rPr>
        <w:t xml:space="preserve">(see SI) </w:t>
      </w:r>
      <w:r w:rsidR="00413377" w:rsidRPr="00A8061A">
        <w:rPr>
          <w:lang w:val="en-US"/>
        </w:rPr>
        <w:t>did not show the presence of Li</w:t>
      </w:r>
      <w:r w:rsidR="00413377" w:rsidRPr="00A8061A">
        <w:rPr>
          <w:vertAlign w:val="subscript"/>
          <w:lang w:val="en-US"/>
        </w:rPr>
        <w:t>2</w:t>
      </w:r>
      <w:r w:rsidR="00413377" w:rsidRPr="00A8061A">
        <w:rPr>
          <w:lang w:val="en-US"/>
        </w:rPr>
        <w:t>O</w:t>
      </w:r>
      <w:r w:rsidR="00EF79D5" w:rsidRPr="00A8061A">
        <w:rPr>
          <w:lang w:val="en-US"/>
        </w:rPr>
        <w:t xml:space="preserve"> (528 eV, O 1s)</w:t>
      </w:r>
      <w:r w:rsidR="00413377" w:rsidRPr="00A8061A">
        <w:rPr>
          <w:lang w:val="en-US"/>
        </w:rPr>
        <w:t xml:space="preserve"> for the AE</w:t>
      </w:r>
      <w:r w:rsidR="00413377" w:rsidRPr="00A8061A">
        <w:rPr>
          <w:lang w:val="en-US"/>
        </w:rPr>
        <w:noBreakHyphen/>
        <w:t>VC@Li×AE</w:t>
      </w:r>
      <w:r w:rsidR="00413377" w:rsidRPr="00A8061A">
        <w:rPr>
          <w:lang w:val="en-US"/>
        </w:rPr>
        <w:noBreakHyphen/>
        <w:t>VC cell setup</w:t>
      </w:r>
      <w:r w:rsidR="00EF79D5" w:rsidRPr="00A8061A">
        <w:rPr>
          <w:lang w:val="en-US"/>
        </w:rPr>
        <w:t>, either as a result of a thicker organic layer covering the inorganic components or an overall lower amount</w:t>
      </w:r>
      <w:r w:rsidR="000612B6" w:rsidRPr="00A8061A">
        <w:rPr>
          <w:lang w:val="en-US"/>
        </w:rPr>
        <w:t>.</w:t>
      </w:r>
      <w:r w:rsidR="00EF79D5" w:rsidRPr="00A8061A">
        <w:rPr>
          <w:lang w:val="en-US"/>
        </w:rPr>
        <w:t xml:space="preserve"> Additionally, the XPS data does not </w:t>
      </w:r>
      <w:r w:rsidR="00EF79D5" w:rsidRPr="00A8061A">
        <w:rPr>
          <w:lang w:val="en-US"/>
        </w:rPr>
        <w:lastRenderedPageBreak/>
        <w:t xml:space="preserve">show the formation of poly-VC (293 eV, C 1s) </w:t>
      </w:r>
      <w:r w:rsidR="006F5ACE" w:rsidRPr="00A8061A">
        <w:rPr>
          <w:lang w:val="en-US"/>
        </w:rPr>
        <w:t>after stripping/plating in a</w:t>
      </w:r>
      <w:r w:rsidR="00EF79D5" w:rsidRPr="00A8061A">
        <w:rPr>
          <w:lang w:val="en-US"/>
        </w:rPr>
        <w:t xml:space="preserve"> Li||Li symmetric cell setup</w:t>
      </w:r>
      <w:r w:rsidR="006F5ACE" w:rsidRPr="00A8061A">
        <w:rPr>
          <w:lang w:val="en-US"/>
        </w:rPr>
        <w:t xml:space="preserve">. </w:t>
      </w:r>
      <w:r w:rsidR="00A43182" w:rsidRPr="00A8061A">
        <w:rPr>
          <w:lang w:val="en-US"/>
        </w:rPr>
        <w:t xml:space="preserve">Finally, the </w:t>
      </w:r>
      <w:r w:rsidR="008E18E1" w:rsidRPr="00A8061A">
        <w:rPr>
          <w:lang w:val="en-US"/>
        </w:rPr>
        <w:t xml:space="preserve">presence of </w:t>
      </w:r>
      <w:r w:rsidR="00A43182" w:rsidRPr="00A8061A">
        <w:rPr>
          <w:lang w:val="en-US"/>
        </w:rPr>
        <w:t>FEC in AE</w:t>
      </w:r>
      <w:r w:rsidR="00A43182" w:rsidRPr="00A8061A">
        <w:rPr>
          <w:lang w:val="en-US"/>
        </w:rPr>
        <w:noBreakHyphen/>
        <w:t>FEC@Li×AE</w:t>
      </w:r>
      <w:r w:rsidR="00A43182" w:rsidRPr="00A8061A">
        <w:rPr>
          <w:lang w:val="en-US"/>
        </w:rPr>
        <w:noBreakHyphen/>
        <w:t>FEC</w:t>
      </w:r>
      <w:r w:rsidR="000612B6" w:rsidRPr="00A8061A">
        <w:rPr>
          <w:lang w:val="en-US"/>
        </w:rPr>
        <w:t xml:space="preserve"> reduces the amount of formed inorganic species and mainly forms semi</w:t>
      </w:r>
      <w:r w:rsidRPr="00A8061A">
        <w:rPr>
          <w:lang w:val="en-US"/>
        </w:rPr>
        <w:t>-</w:t>
      </w:r>
      <w:r w:rsidR="000612B6" w:rsidRPr="00A8061A">
        <w:rPr>
          <w:lang w:val="en-US"/>
        </w:rPr>
        <w:t>carbonates</w:t>
      </w:r>
      <w:r w:rsidR="00F65E32" w:rsidRPr="00A8061A">
        <w:rPr>
          <w:noProof/>
          <w:lang w:val="en-US"/>
        </w:rPr>
        <w:t>[62]</w:t>
      </w:r>
      <w:r w:rsidR="000612B6" w:rsidRPr="00A8061A">
        <w:rPr>
          <w:lang w:val="en-US"/>
        </w:rPr>
        <w:t xml:space="preserve"> and other EC and FEC ring</w:t>
      </w:r>
      <w:r w:rsidR="00A0526E" w:rsidRPr="00A8061A">
        <w:rPr>
          <w:lang w:val="en-US"/>
        </w:rPr>
        <w:t>-</w:t>
      </w:r>
      <w:r w:rsidR="000612B6" w:rsidRPr="00A8061A">
        <w:rPr>
          <w:lang w:val="en-US"/>
        </w:rPr>
        <w:t>opening decomposition products.</w:t>
      </w:r>
      <w:r w:rsidR="00F65E32" w:rsidRPr="00A8061A">
        <w:rPr>
          <w:noProof/>
          <w:lang w:val="en-US"/>
        </w:rPr>
        <w:t>[63]</w:t>
      </w:r>
      <w:r w:rsidR="00213693" w:rsidRPr="00A8061A">
        <w:rPr>
          <w:lang w:val="en-US"/>
        </w:rPr>
        <w:t xml:space="preserve"> The hypothesis of a ring opening mechanism is heavily supported by the intense peak at 625 cm</w:t>
      </w:r>
      <w:r w:rsidR="00213693" w:rsidRPr="00A8061A">
        <w:rPr>
          <w:vertAlign w:val="superscript"/>
          <w:lang w:val="en-US"/>
        </w:rPr>
        <w:t>-1</w:t>
      </w:r>
      <w:r w:rsidR="00213693" w:rsidRPr="00A8061A">
        <w:rPr>
          <w:lang w:val="en-US"/>
        </w:rPr>
        <w:t>, which can be assigned to the O-C-O scissoring mode of LEC or LEMC-like molecules.</w:t>
      </w:r>
      <w:r w:rsidR="00F65E32" w:rsidRPr="00A8061A">
        <w:rPr>
          <w:noProof/>
          <w:lang w:val="en-US"/>
        </w:rPr>
        <w:t>[64]</w:t>
      </w:r>
      <w:r w:rsidR="00213693" w:rsidRPr="00A8061A">
        <w:rPr>
          <w:lang w:val="en-US"/>
        </w:rPr>
        <w:t xml:space="preserve"> </w:t>
      </w:r>
      <w:r w:rsidR="00A0526E" w:rsidRPr="00A8061A">
        <w:rPr>
          <w:lang w:val="en-US"/>
        </w:rPr>
        <w:t>Overall</w:t>
      </w:r>
      <w:r w:rsidR="00213693" w:rsidRPr="00A8061A">
        <w:rPr>
          <w:lang w:val="en-US"/>
        </w:rPr>
        <w:t xml:space="preserve">, </w:t>
      </w:r>
      <w:r w:rsidR="00213693" w:rsidRPr="00A8061A">
        <w:rPr>
          <w:i/>
          <w:lang w:val="en-US"/>
        </w:rPr>
        <w:t>post mortem</w:t>
      </w:r>
      <w:r w:rsidR="00213693" w:rsidRPr="00A8061A">
        <w:rPr>
          <w:lang w:val="en-US"/>
        </w:rPr>
        <w:t xml:space="preserve"> Raman </w:t>
      </w:r>
      <w:r w:rsidRPr="00A8061A">
        <w:rPr>
          <w:lang w:val="en-US"/>
        </w:rPr>
        <w:t>a</w:t>
      </w:r>
      <w:r w:rsidR="00213693" w:rsidRPr="00A8061A">
        <w:rPr>
          <w:lang w:val="en-US"/>
        </w:rPr>
        <w:t xml:space="preserve">nalysis of the </w:t>
      </w:r>
      <w:r w:rsidR="00044AD6" w:rsidRPr="00A8061A">
        <w:rPr>
          <w:lang w:val="en-US"/>
        </w:rPr>
        <w:t xml:space="preserve">considered </w:t>
      </w:r>
      <w:r w:rsidR="00213693" w:rsidRPr="00A8061A">
        <w:rPr>
          <w:lang w:val="en-US"/>
        </w:rPr>
        <w:t xml:space="preserve">pSEI containing cell setups revealed large differences in surface chemical composition after </w:t>
      </w:r>
      <w:r w:rsidR="00B67B81" w:rsidRPr="00A8061A">
        <w:rPr>
          <w:lang w:val="en-US"/>
        </w:rPr>
        <w:t>five</w:t>
      </w:r>
      <w:r w:rsidR="00213693" w:rsidRPr="00A8061A">
        <w:rPr>
          <w:lang w:val="en-US"/>
        </w:rPr>
        <w:t xml:space="preserve"> cycles of stripping/plating. BE@Li×BE largely contains inorganic components </w:t>
      </w:r>
      <w:r w:rsidR="00A35ADC" w:rsidRPr="00A8061A">
        <w:rPr>
          <w:lang w:val="en-US"/>
        </w:rPr>
        <w:t xml:space="preserve">whereas </w:t>
      </w:r>
      <w:r w:rsidR="00213693" w:rsidRPr="00A8061A">
        <w:rPr>
          <w:lang w:val="en-US"/>
        </w:rPr>
        <w:t xml:space="preserve">the addition of </w:t>
      </w:r>
      <w:r w:rsidR="00DF25C9" w:rsidRPr="00A8061A">
        <w:rPr>
          <w:lang w:val="en-US"/>
        </w:rPr>
        <w:t xml:space="preserve">VC and FEC </w:t>
      </w:r>
      <w:r w:rsidR="00A35ADC" w:rsidRPr="00A8061A">
        <w:rPr>
          <w:lang w:val="en-US"/>
        </w:rPr>
        <w:t xml:space="preserve">additives results in </w:t>
      </w:r>
      <w:r w:rsidRPr="00A8061A">
        <w:rPr>
          <w:lang w:val="en-US"/>
        </w:rPr>
        <w:t xml:space="preserve">more, however different, </w:t>
      </w:r>
      <w:r w:rsidR="00213693" w:rsidRPr="00A8061A">
        <w:rPr>
          <w:lang w:val="en-US"/>
        </w:rPr>
        <w:t xml:space="preserve">organic components. </w:t>
      </w:r>
      <w:r w:rsidR="00B3640D" w:rsidRPr="00A8061A">
        <w:rPr>
          <w:lang w:val="en-US"/>
        </w:rPr>
        <w:t>Finally,</w:t>
      </w:r>
      <w:r w:rsidR="00DF25C9" w:rsidRPr="00A8061A">
        <w:rPr>
          <w:lang w:val="en-US"/>
        </w:rPr>
        <w:t xml:space="preserve"> a </w:t>
      </w:r>
      <w:r w:rsidR="00A0526E" w:rsidRPr="00A8061A">
        <w:rPr>
          <w:lang w:val="en-US"/>
        </w:rPr>
        <w:t xml:space="preserve">product formed by </w:t>
      </w:r>
      <w:r w:rsidR="00DF25C9" w:rsidRPr="00A8061A">
        <w:rPr>
          <w:lang w:val="en-US"/>
        </w:rPr>
        <w:t>ring</w:t>
      </w:r>
      <w:r w:rsidR="00A0526E" w:rsidRPr="00A8061A">
        <w:rPr>
          <w:lang w:val="en-US"/>
        </w:rPr>
        <w:t>-</w:t>
      </w:r>
      <w:r w:rsidR="00DF25C9" w:rsidRPr="00A8061A">
        <w:rPr>
          <w:lang w:val="en-US"/>
        </w:rPr>
        <w:t>opening was detected for the AE</w:t>
      </w:r>
      <w:r w:rsidR="00DF25C9" w:rsidRPr="00A8061A">
        <w:rPr>
          <w:lang w:val="en-US"/>
        </w:rPr>
        <w:noBreakHyphen/>
        <w:t>FEC@Li×AE</w:t>
      </w:r>
      <w:r w:rsidR="00DF25C9" w:rsidRPr="00A8061A">
        <w:rPr>
          <w:lang w:val="en-US"/>
        </w:rPr>
        <w:noBreakHyphen/>
        <w:t xml:space="preserve">FEC spectra which was not detected for any other cell setup, including the once containing a </w:t>
      </w:r>
      <w:r w:rsidR="003F3C0F" w:rsidRPr="00A8061A">
        <w:rPr>
          <w:lang w:val="en-US"/>
        </w:rPr>
        <w:t>NPL</w:t>
      </w:r>
      <w:r w:rsidR="00DF25C9" w:rsidRPr="00A8061A">
        <w:rPr>
          <w:lang w:val="en-US"/>
        </w:rPr>
        <w:t xml:space="preserve"> (see SI). </w:t>
      </w:r>
    </w:p>
    <w:p w14:paraId="249888D7" w14:textId="4ACAC2A1" w:rsidR="00AC10DD" w:rsidRPr="00A8061A" w:rsidRDefault="009F54AD" w:rsidP="00AC10DD">
      <w:pPr>
        <w:keepNext/>
        <w:jc w:val="both"/>
      </w:pPr>
      <w:r w:rsidRPr="00A8061A">
        <w:rPr>
          <w:noProof/>
          <w:lang w:eastAsia="de-DE"/>
        </w:rPr>
        <w:drawing>
          <wp:inline distT="0" distB="0" distL="0" distR="0" wp14:anchorId="22E6AF5B" wp14:editId="3A402B52">
            <wp:extent cx="5760720" cy="3867618"/>
            <wp:effectExtent l="0" t="0" r="0" b="0"/>
            <wp:docPr id="3" name="Grafik 3" descr="M:\Gruppen\Flüssigelektrolyte\_PROJECTS\LILLINT\Paper\Pretreatment-Method-Paper\Figures\Fig8_rev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Gruppen\Flüssigelektrolyte\_PROJECTS\LILLINT\Paper\Pretreatment-Method-Paper\Figures\Fig8_rev_HR.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67618"/>
                    </a:xfrm>
                    <a:prstGeom prst="rect">
                      <a:avLst/>
                    </a:prstGeom>
                    <a:noFill/>
                    <a:ln>
                      <a:noFill/>
                    </a:ln>
                  </pic:spPr>
                </pic:pic>
              </a:graphicData>
            </a:graphic>
          </wp:inline>
        </w:drawing>
      </w:r>
    </w:p>
    <w:p w14:paraId="3A574A9F" w14:textId="4D7194FF" w:rsidR="009F7253" w:rsidRPr="00A8061A" w:rsidRDefault="00AC10DD" w:rsidP="00AC10DD">
      <w:pPr>
        <w:pStyle w:val="Untertitel"/>
      </w:pPr>
      <w:bookmarkStart w:id="10" w:name="_Ref104296631"/>
      <w:r w:rsidRPr="00A8061A">
        <w:t xml:space="preserve">Fig. </w:t>
      </w:r>
      <w:r w:rsidR="007160F2" w:rsidRPr="00A8061A">
        <w:rPr>
          <w:noProof/>
        </w:rPr>
        <w:t>8</w:t>
      </w:r>
      <w:bookmarkEnd w:id="10"/>
      <w:r w:rsidRPr="00A8061A">
        <w:t>.</w:t>
      </w:r>
      <w:r w:rsidR="00CE15A6" w:rsidRPr="00A8061A">
        <w:t xml:space="preserve"> </w:t>
      </w:r>
      <w:r w:rsidR="00240354" w:rsidRPr="00A8061A">
        <w:rPr>
          <w:i/>
        </w:rPr>
        <w:t>Post mortem</w:t>
      </w:r>
      <w:r w:rsidR="00240354" w:rsidRPr="00A8061A">
        <w:t xml:space="preserve"> </w:t>
      </w:r>
      <w:r w:rsidR="00DC2A7E" w:rsidRPr="00A8061A">
        <w:t>RAMAN</w:t>
      </w:r>
      <w:r w:rsidR="00240354" w:rsidRPr="00A8061A">
        <w:t xml:space="preserve"> analys</w:t>
      </w:r>
      <w:r w:rsidR="00A0526E" w:rsidRPr="00A8061A">
        <w:t>e</w:t>
      </w:r>
      <w:r w:rsidR="00240354" w:rsidRPr="00A8061A">
        <w:t>s of BE@Li×BE (</w:t>
      </w:r>
      <w:r w:rsidR="008E6300" w:rsidRPr="00A8061A">
        <w:t>a</w:t>
      </w:r>
      <w:r w:rsidR="00240354" w:rsidRPr="00A8061A">
        <w:t>)</w:t>
      </w:r>
      <w:r w:rsidR="008E6300" w:rsidRPr="00A8061A">
        <w:t>, AE-VC@Li×AE</w:t>
      </w:r>
      <w:r w:rsidR="008E6300" w:rsidRPr="00A8061A">
        <w:noBreakHyphen/>
        <w:t>VC (b) and AE-FEC@Li×AE</w:t>
      </w:r>
      <w:r w:rsidR="008E6300" w:rsidRPr="00A8061A">
        <w:noBreakHyphen/>
        <w:t>FEC (c)</w:t>
      </w:r>
      <w:r w:rsidR="00240354" w:rsidRPr="00A8061A">
        <w:t xml:space="preserve"> after </w:t>
      </w:r>
      <w:r w:rsidR="0008691F" w:rsidRPr="00A8061A">
        <w:t>five</w:t>
      </w:r>
      <w:r w:rsidR="00240354" w:rsidRPr="00A8061A">
        <w:t xml:space="preserve"> cycles of stripping/plating experiment at 0.5 mA cm</w:t>
      </w:r>
      <w:r w:rsidR="00240354" w:rsidRPr="00A8061A">
        <w:rPr>
          <w:vertAlign w:val="superscript"/>
        </w:rPr>
        <w:t>-2</w:t>
      </w:r>
      <w:r w:rsidR="00240354" w:rsidRPr="00A8061A">
        <w:t xml:space="preserve"> (0.5 mAh cm</w:t>
      </w:r>
      <w:r w:rsidR="00240354" w:rsidRPr="00A8061A">
        <w:rPr>
          <w:vertAlign w:val="superscript"/>
        </w:rPr>
        <w:t>-2</w:t>
      </w:r>
      <w:r w:rsidR="00240354" w:rsidRPr="00A8061A">
        <w:t>)</w:t>
      </w:r>
    </w:p>
    <w:p w14:paraId="1A30D98F" w14:textId="3E8FB38C" w:rsidR="009F7253" w:rsidRPr="00A8061A" w:rsidRDefault="00B3640D" w:rsidP="009F2841">
      <w:pPr>
        <w:pStyle w:val="MT1"/>
      </w:pPr>
      <w:r w:rsidRPr="00A8061A">
        <w:t>Galvanostatic c</w:t>
      </w:r>
      <w:r w:rsidR="009F7253" w:rsidRPr="00A8061A">
        <w:t>ycling</w:t>
      </w:r>
      <w:r w:rsidR="003A69EF" w:rsidRPr="00A8061A">
        <w:t xml:space="preserve"> performance</w:t>
      </w:r>
    </w:p>
    <w:p w14:paraId="0F12641C" w14:textId="74CB15A5" w:rsidR="009F7253" w:rsidRPr="00A8061A" w:rsidRDefault="00AC10DD" w:rsidP="00AC10DD">
      <w:pPr>
        <w:pStyle w:val="Beschriftung"/>
        <w:rPr>
          <w:lang w:val="en-US"/>
        </w:rPr>
      </w:pPr>
      <w:r w:rsidRPr="00A8061A">
        <w:rPr>
          <w:lang w:val="en-US"/>
        </w:rPr>
        <w:t xml:space="preserve">Finally, the influence of a </w:t>
      </w:r>
      <w:r w:rsidR="003F3C0F" w:rsidRPr="00A8061A">
        <w:rPr>
          <w:lang w:val="en-US"/>
        </w:rPr>
        <w:t>NPL</w:t>
      </w:r>
      <w:r w:rsidRPr="00A8061A">
        <w:rPr>
          <w:lang w:val="en-US"/>
        </w:rPr>
        <w:t xml:space="preserve"> on LMB full cell setup is analyzed and compared to an as</w:t>
      </w:r>
      <w:r w:rsidRPr="00A8061A">
        <w:rPr>
          <w:lang w:val="en-US"/>
        </w:rPr>
        <w:noBreakHyphen/>
        <w:t xml:space="preserve">defined </w:t>
      </w:r>
      <w:r w:rsidR="00795286" w:rsidRPr="00A8061A">
        <w:rPr>
          <w:lang w:val="en-US"/>
        </w:rPr>
        <w:t>p</w:t>
      </w:r>
      <w:r w:rsidRPr="00A8061A">
        <w:rPr>
          <w:lang w:val="en-US"/>
        </w:rPr>
        <w:t xml:space="preserve">SEI, using commercial NMC811 as </w:t>
      </w:r>
      <w:r w:rsidR="00A0526E" w:rsidRPr="00A8061A">
        <w:rPr>
          <w:lang w:val="en-US"/>
        </w:rPr>
        <w:t>cathode</w:t>
      </w:r>
      <w:r w:rsidR="00F6543B" w:rsidRPr="00A8061A">
        <w:rPr>
          <w:lang w:val="en-US"/>
        </w:rPr>
        <w:t xml:space="preserve"> material</w:t>
      </w:r>
      <w:r w:rsidRPr="00A8061A">
        <w:rPr>
          <w:lang w:val="en-US"/>
        </w:rPr>
        <w:t xml:space="preserve">. </w:t>
      </w:r>
      <w:r w:rsidR="00A0526E" w:rsidRPr="00A8061A">
        <w:rPr>
          <w:lang w:val="en-US"/>
        </w:rPr>
        <w:t>It should be noted</w:t>
      </w:r>
      <w:r w:rsidR="008E18E1" w:rsidRPr="00A8061A">
        <w:rPr>
          <w:lang w:val="en-US"/>
        </w:rPr>
        <w:t xml:space="preserve"> </w:t>
      </w:r>
      <w:r w:rsidR="00A0526E" w:rsidRPr="00A8061A">
        <w:rPr>
          <w:lang w:val="en-US"/>
        </w:rPr>
        <w:t xml:space="preserve">that </w:t>
      </w:r>
      <w:r w:rsidRPr="00A8061A">
        <w:rPr>
          <w:lang w:val="en-US"/>
        </w:rPr>
        <w:t>the introduction of a</w:t>
      </w:r>
      <w:r w:rsidR="009F7253" w:rsidRPr="00A8061A">
        <w:rPr>
          <w:lang w:val="en-US"/>
        </w:rPr>
        <w:t xml:space="preserve"> cathode</w:t>
      </w:r>
      <w:r w:rsidRPr="00A8061A">
        <w:rPr>
          <w:lang w:val="en-US"/>
        </w:rPr>
        <w:t xml:space="preserve"> can also have an </w:t>
      </w:r>
      <w:r w:rsidR="009F7253" w:rsidRPr="00A8061A">
        <w:rPr>
          <w:lang w:val="en-US"/>
        </w:rPr>
        <w:t>influence</w:t>
      </w:r>
      <w:r w:rsidRPr="00A8061A">
        <w:rPr>
          <w:lang w:val="en-US"/>
        </w:rPr>
        <w:t xml:space="preserve"> on</w:t>
      </w:r>
      <w:r w:rsidR="009F7253" w:rsidRPr="00A8061A">
        <w:rPr>
          <w:lang w:val="en-US"/>
        </w:rPr>
        <w:t xml:space="preserve"> the SEI</w:t>
      </w:r>
      <w:r w:rsidRPr="00A8061A">
        <w:rPr>
          <w:lang w:val="en-US"/>
        </w:rPr>
        <w:t xml:space="preserve">: e.g. </w:t>
      </w:r>
      <w:r w:rsidR="008E18E1" w:rsidRPr="00A8061A">
        <w:rPr>
          <w:lang w:val="en-US"/>
        </w:rPr>
        <w:t xml:space="preserve">due to </w:t>
      </w:r>
      <w:r w:rsidR="009F7253" w:rsidRPr="00A8061A">
        <w:rPr>
          <w:lang w:val="en-US"/>
        </w:rPr>
        <w:t>high</w:t>
      </w:r>
      <w:r w:rsidRPr="00A8061A">
        <w:rPr>
          <w:lang w:val="en-US"/>
        </w:rPr>
        <w:t>er</w:t>
      </w:r>
      <w:r w:rsidR="009F7253" w:rsidRPr="00A8061A">
        <w:rPr>
          <w:lang w:val="en-US"/>
        </w:rPr>
        <w:t xml:space="preserve"> voltage condition</w:t>
      </w:r>
      <w:r w:rsidRPr="00A8061A">
        <w:rPr>
          <w:lang w:val="en-US"/>
        </w:rPr>
        <w:t>s</w:t>
      </w:r>
      <w:r w:rsidR="0010135D" w:rsidRPr="00A8061A">
        <w:rPr>
          <w:lang w:val="en-US"/>
        </w:rPr>
        <w:t>,</w:t>
      </w:r>
      <w:r w:rsidR="00F65E32" w:rsidRPr="00A8061A">
        <w:rPr>
          <w:noProof/>
          <w:lang w:val="en-US"/>
        </w:rPr>
        <w:t>[65]</w:t>
      </w:r>
      <w:r w:rsidR="009F7253" w:rsidRPr="00A8061A">
        <w:rPr>
          <w:lang w:val="en-US"/>
        </w:rPr>
        <w:t xml:space="preserve"> SEI-to-</w:t>
      </w:r>
      <w:r w:rsidR="00A0526E" w:rsidRPr="00A8061A">
        <w:rPr>
          <w:lang w:val="en-US"/>
        </w:rPr>
        <w:t xml:space="preserve"> cathode electrolyte interphase (</w:t>
      </w:r>
      <w:r w:rsidR="009F7253" w:rsidRPr="00A8061A">
        <w:rPr>
          <w:lang w:val="en-US"/>
        </w:rPr>
        <w:t>CEI</w:t>
      </w:r>
      <w:r w:rsidR="00A0526E" w:rsidRPr="00A8061A">
        <w:rPr>
          <w:lang w:val="en-US"/>
        </w:rPr>
        <w:t>)</w:t>
      </w:r>
      <w:r w:rsidR="006C6A5D" w:rsidRPr="00A8061A">
        <w:rPr>
          <w:noProof/>
          <w:lang w:val="en-US"/>
        </w:rPr>
        <w:t>[54]</w:t>
      </w:r>
      <w:r w:rsidR="009F7253" w:rsidRPr="00A8061A">
        <w:rPr>
          <w:lang w:val="en-US"/>
        </w:rPr>
        <w:t xml:space="preserve"> and CEI-to-SEI</w:t>
      </w:r>
      <w:r w:rsidR="006C6A5D" w:rsidRPr="00A8061A">
        <w:rPr>
          <w:noProof/>
          <w:lang w:val="en-US"/>
        </w:rPr>
        <w:t>[53]</w:t>
      </w:r>
      <w:r w:rsidR="009F7253" w:rsidRPr="00A8061A">
        <w:rPr>
          <w:lang w:val="en-US"/>
        </w:rPr>
        <w:t xml:space="preserve"> crosstalk. </w:t>
      </w:r>
      <w:r w:rsidR="00A0526E" w:rsidRPr="00A8061A">
        <w:rPr>
          <w:lang w:val="en-US"/>
        </w:rPr>
        <w:t>T</w:t>
      </w:r>
      <w:r w:rsidRPr="00A8061A">
        <w:rPr>
          <w:lang w:val="en-US"/>
        </w:rPr>
        <w:t>he measurements were conducted at</w:t>
      </w:r>
      <w:r w:rsidR="009F7253" w:rsidRPr="00A8061A">
        <w:rPr>
          <w:lang w:val="en-US"/>
        </w:rPr>
        <w:t xml:space="preserve"> constant current density of 0.5 mAh cm</w:t>
      </w:r>
      <w:r w:rsidR="009F7253" w:rsidRPr="00A8061A">
        <w:rPr>
          <w:vertAlign w:val="superscript"/>
          <w:lang w:val="en-US"/>
        </w:rPr>
        <w:t>-2</w:t>
      </w:r>
      <w:r w:rsidR="009F7253" w:rsidRPr="00A8061A">
        <w:rPr>
          <w:lang w:val="en-US"/>
        </w:rPr>
        <w:t xml:space="preserve"> </w:t>
      </w:r>
      <w:r w:rsidR="007179CA" w:rsidRPr="00A8061A">
        <w:rPr>
          <w:lang w:val="en-US"/>
        </w:rPr>
        <w:t>within the voltage range of</w:t>
      </w:r>
      <w:r w:rsidR="009F7253" w:rsidRPr="00A8061A">
        <w:rPr>
          <w:lang w:val="en-US"/>
        </w:rPr>
        <w:t xml:space="preserve"> </w:t>
      </w:r>
      <w:r w:rsidR="006B23B9" w:rsidRPr="00A8061A">
        <w:rPr>
          <w:lang w:val="en-US"/>
        </w:rPr>
        <w:t>3.0</w:t>
      </w:r>
      <w:r w:rsidR="009F7253" w:rsidRPr="00A8061A">
        <w:rPr>
          <w:lang w:val="en-US"/>
        </w:rPr>
        <w:t xml:space="preserve"> </w:t>
      </w:r>
      <w:r w:rsidR="00CE15A6" w:rsidRPr="00A8061A">
        <w:rPr>
          <w:lang w:val="en-US"/>
        </w:rPr>
        <w:t>to</w:t>
      </w:r>
      <w:r w:rsidR="009F7253" w:rsidRPr="00A8061A">
        <w:rPr>
          <w:lang w:val="en-US"/>
        </w:rPr>
        <w:t xml:space="preserve"> </w:t>
      </w:r>
      <w:r w:rsidR="006B23B9" w:rsidRPr="00A8061A">
        <w:rPr>
          <w:lang w:val="en-US"/>
        </w:rPr>
        <w:t>4.2</w:t>
      </w:r>
      <w:r w:rsidR="009F7253" w:rsidRPr="00A8061A">
        <w:rPr>
          <w:lang w:val="en-US"/>
        </w:rPr>
        <w:t xml:space="preserve"> V </w:t>
      </w:r>
      <w:r w:rsidRPr="00A8061A">
        <w:rPr>
          <w:lang w:val="en-US"/>
        </w:rPr>
        <w:t xml:space="preserve">to not expose the anode to different current densities compared to the </w:t>
      </w:r>
      <w:r w:rsidR="009F7253" w:rsidRPr="00A8061A">
        <w:rPr>
          <w:lang w:val="en-US"/>
        </w:rPr>
        <w:t>stripping</w:t>
      </w:r>
      <w:r w:rsidR="00CE15A6" w:rsidRPr="00A8061A">
        <w:rPr>
          <w:lang w:val="en-US"/>
        </w:rPr>
        <w:t>/</w:t>
      </w:r>
      <w:r w:rsidR="009F7253" w:rsidRPr="00A8061A">
        <w:rPr>
          <w:lang w:val="en-US"/>
        </w:rPr>
        <w:t xml:space="preserve">plating </w:t>
      </w:r>
      <w:r w:rsidRPr="00A8061A">
        <w:rPr>
          <w:lang w:val="en-US"/>
        </w:rPr>
        <w:t>experiments</w:t>
      </w:r>
      <w:r w:rsidR="009F7253" w:rsidRPr="00A8061A">
        <w:rPr>
          <w:lang w:val="en-US"/>
        </w:rPr>
        <w:t xml:space="preserve">. </w:t>
      </w:r>
      <w:r w:rsidR="00CE15A6" w:rsidRPr="00A8061A">
        <w:rPr>
          <w:lang w:val="en-US"/>
        </w:rPr>
        <w:t>The different cell setups were compared in two ways (</w:t>
      </w:r>
      <w:r w:rsidRPr="00A8061A">
        <w:rPr>
          <w:lang w:val="en-US"/>
        </w:rPr>
        <w:t>Fig</w:t>
      </w:r>
      <w:r w:rsidR="00F15C1B" w:rsidRPr="00A8061A">
        <w:rPr>
          <w:lang w:val="en-US"/>
        </w:rPr>
        <w:t>.</w:t>
      </w:r>
      <w:r w:rsidRPr="00A8061A">
        <w:rPr>
          <w:lang w:val="en-US"/>
        </w:rPr>
        <w:t xml:space="preserve"> </w:t>
      </w:r>
      <w:r w:rsidRPr="00A8061A">
        <w:rPr>
          <w:noProof/>
          <w:lang w:val="en-US"/>
        </w:rPr>
        <w:t>10</w:t>
      </w:r>
      <w:r w:rsidR="00D73C4E" w:rsidRPr="00A8061A">
        <w:rPr>
          <w:lang w:val="en-US"/>
        </w:rPr>
        <w:t>)</w:t>
      </w:r>
      <w:r w:rsidR="00CE15A6" w:rsidRPr="00A8061A">
        <w:rPr>
          <w:lang w:val="en-US"/>
        </w:rPr>
        <w:t>: 1) C</w:t>
      </w:r>
      <w:r w:rsidR="009F7253" w:rsidRPr="00A8061A">
        <w:rPr>
          <w:lang w:val="en-US"/>
        </w:rPr>
        <w:t>apacity fad</w:t>
      </w:r>
      <w:r w:rsidR="007179CA" w:rsidRPr="00A8061A">
        <w:rPr>
          <w:lang w:val="en-US"/>
        </w:rPr>
        <w:t>ing</w:t>
      </w:r>
      <w:r w:rsidR="009F7253" w:rsidRPr="00A8061A">
        <w:rPr>
          <w:lang w:val="en-US"/>
        </w:rPr>
        <w:t xml:space="preserve"> was evaluated as a state of health (SOH, based on the discharge capacity of the 5</w:t>
      </w:r>
      <w:r w:rsidR="009F7253" w:rsidRPr="00A8061A">
        <w:rPr>
          <w:vertAlign w:val="superscript"/>
          <w:lang w:val="en-US"/>
        </w:rPr>
        <w:t>th</w:t>
      </w:r>
      <w:r w:rsidR="009F7253" w:rsidRPr="00A8061A">
        <w:rPr>
          <w:lang w:val="en-US"/>
        </w:rPr>
        <w:t xml:space="preserve"> cycle of each evaluated cell) and the cells were determined to be failed after the state of health reached 80 %.</w:t>
      </w:r>
      <w:r w:rsidR="00CE15A6" w:rsidRPr="00A8061A">
        <w:rPr>
          <w:lang w:val="en-US"/>
        </w:rPr>
        <w:t xml:space="preserve"> 2) The </w:t>
      </w:r>
      <w:r w:rsidRPr="00A8061A">
        <w:rPr>
          <w:lang w:val="en-US"/>
        </w:rPr>
        <w:t>c</w:t>
      </w:r>
      <w:r w:rsidR="00CE15A6" w:rsidRPr="00A8061A">
        <w:rPr>
          <w:lang w:val="en-US"/>
        </w:rPr>
        <w:t xml:space="preserve">oulombic efficiency (CE) was determined for each cycle by the ratio of discharge to charge </w:t>
      </w:r>
      <w:r w:rsidR="00145B92" w:rsidRPr="00A8061A">
        <w:rPr>
          <w:lang w:val="en-US"/>
        </w:rPr>
        <w:t>capacity</w:t>
      </w:r>
      <w:r w:rsidR="00CE15A6" w:rsidRPr="00A8061A">
        <w:rPr>
          <w:lang w:val="en-US"/>
        </w:rPr>
        <w:t>.</w:t>
      </w:r>
      <w:r w:rsidRPr="00A8061A">
        <w:rPr>
          <w:lang w:val="en-US"/>
        </w:rPr>
        <w:t xml:space="preserve"> </w:t>
      </w:r>
    </w:p>
    <w:p w14:paraId="79447E12" w14:textId="31ED5B9E" w:rsidR="009F7253" w:rsidRDefault="009F7253" w:rsidP="00AC10DD">
      <w:pPr>
        <w:pStyle w:val="Beschriftung"/>
        <w:rPr>
          <w:lang w:val="en-US"/>
        </w:rPr>
      </w:pPr>
      <w:r w:rsidRPr="00A8061A">
        <w:rPr>
          <w:lang w:val="en-US"/>
        </w:rPr>
        <w:t>Looking at all six cell setups</w:t>
      </w:r>
      <w:r w:rsidR="00A0526E" w:rsidRPr="00A8061A">
        <w:rPr>
          <w:lang w:val="en-US"/>
        </w:rPr>
        <w:t>,</w:t>
      </w:r>
      <w:r w:rsidRPr="00A8061A">
        <w:rPr>
          <w:lang w:val="en-US"/>
        </w:rPr>
        <w:t xml:space="preserve"> it becomes clear, that</w:t>
      </w:r>
      <w:r w:rsidR="00CE15A6" w:rsidRPr="00A8061A">
        <w:rPr>
          <w:lang w:val="en-US"/>
        </w:rPr>
        <w:t xml:space="preserve"> </w:t>
      </w:r>
      <w:r w:rsidR="003A69EF" w:rsidRPr="00A8061A">
        <w:rPr>
          <w:lang w:val="en-US"/>
        </w:rPr>
        <w:t xml:space="preserve">the presence of a </w:t>
      </w:r>
      <w:r w:rsidR="00CE15A6" w:rsidRPr="00A8061A">
        <w:rPr>
          <w:lang w:val="en-US"/>
        </w:rPr>
        <w:t>functional additive</w:t>
      </w:r>
      <w:r w:rsidRPr="00A8061A">
        <w:rPr>
          <w:lang w:val="en-US"/>
        </w:rPr>
        <w:t xml:space="preserve"> is essential for a </w:t>
      </w:r>
      <w:r w:rsidR="00A0526E" w:rsidRPr="00A8061A">
        <w:rPr>
          <w:lang w:val="en-US"/>
        </w:rPr>
        <w:t>well-</w:t>
      </w:r>
      <w:r w:rsidRPr="00A8061A">
        <w:rPr>
          <w:lang w:val="en-US"/>
        </w:rPr>
        <w:t xml:space="preserve">functioning full cell setup: </w:t>
      </w:r>
      <w:r w:rsidR="00CE15A6" w:rsidRPr="00A8061A">
        <w:rPr>
          <w:lang w:val="en-US"/>
        </w:rPr>
        <w:t xml:space="preserve">This is most obvious by looking at the CE of pLi×BE (dark red) and BE@Li×BE (red), which immediately drop to ~99% CE shortly after the </w:t>
      </w:r>
      <w:r w:rsidR="003A69EF" w:rsidRPr="00A8061A">
        <w:rPr>
          <w:lang w:val="en-US"/>
        </w:rPr>
        <w:t xml:space="preserve">measurement </w:t>
      </w:r>
      <w:r w:rsidR="00CE15A6" w:rsidRPr="00A8061A">
        <w:rPr>
          <w:lang w:val="en-US"/>
        </w:rPr>
        <w:t xml:space="preserve">starts, whereas the additive containing cell setups </w:t>
      </w:r>
      <w:r w:rsidR="003A69EF" w:rsidRPr="00A8061A">
        <w:rPr>
          <w:lang w:val="en-US"/>
        </w:rPr>
        <w:t xml:space="preserve">remain </w:t>
      </w:r>
      <w:r w:rsidR="00CE15A6" w:rsidRPr="00A8061A">
        <w:rPr>
          <w:lang w:val="en-US"/>
        </w:rPr>
        <w:t xml:space="preserve">at &gt;99.9% CE for a minimum of 150 </w:t>
      </w:r>
      <w:r w:rsidR="003A69EF" w:rsidRPr="00A8061A">
        <w:rPr>
          <w:lang w:val="en-US"/>
        </w:rPr>
        <w:t xml:space="preserve">charge/discharge </w:t>
      </w:r>
      <w:r w:rsidR="00CE15A6" w:rsidRPr="00A8061A">
        <w:rPr>
          <w:lang w:val="en-US"/>
        </w:rPr>
        <w:t>cycles (pLi×AE</w:t>
      </w:r>
      <w:r w:rsidR="00CE15A6" w:rsidRPr="00A8061A">
        <w:rPr>
          <w:lang w:val="en-US"/>
        </w:rPr>
        <w:noBreakHyphen/>
        <w:t xml:space="preserve">VC; gray). The BE containing setups also reach the 80% SOH </w:t>
      </w:r>
      <w:r w:rsidR="00061231" w:rsidRPr="00A8061A">
        <w:rPr>
          <w:lang w:val="en-US"/>
        </w:rPr>
        <w:t xml:space="preserve">threshold </w:t>
      </w:r>
      <w:r w:rsidR="00AC10DD" w:rsidRPr="00A8061A">
        <w:rPr>
          <w:lang w:val="en-US"/>
        </w:rPr>
        <w:t>boarder after 125</w:t>
      </w:r>
      <w:r w:rsidR="00CE15A6" w:rsidRPr="00A8061A">
        <w:rPr>
          <w:lang w:val="en-US"/>
        </w:rPr>
        <w:t xml:space="preserve"> cycles (pLi×BE) at the latest. </w:t>
      </w:r>
      <w:r w:rsidR="00AC10DD" w:rsidRPr="00A8061A">
        <w:rPr>
          <w:lang w:val="en-US"/>
        </w:rPr>
        <w:t>Comparing</w:t>
      </w:r>
      <w:r w:rsidR="00061231" w:rsidRPr="00A8061A">
        <w:rPr>
          <w:lang w:val="en-US"/>
        </w:rPr>
        <w:t xml:space="preserve"> the additives FEC and VC, FEC </w:t>
      </w:r>
      <w:r w:rsidR="00AC10DD" w:rsidRPr="00A8061A">
        <w:rPr>
          <w:lang w:val="en-US"/>
        </w:rPr>
        <w:t>enables</w:t>
      </w:r>
      <w:r w:rsidR="00061231" w:rsidRPr="00A8061A">
        <w:rPr>
          <w:lang w:val="en-US"/>
        </w:rPr>
        <w:t xml:space="preserve"> better results for both the pLi and pre</w:t>
      </w:r>
      <w:r w:rsidR="00807574" w:rsidRPr="00A8061A">
        <w:rPr>
          <w:lang w:val="en-US"/>
        </w:rPr>
        <w:t>-</w:t>
      </w:r>
      <w:r w:rsidR="00061231" w:rsidRPr="00A8061A">
        <w:rPr>
          <w:lang w:val="en-US"/>
        </w:rPr>
        <w:t>treated electrodes. The CE of pLi×AE</w:t>
      </w:r>
      <w:r w:rsidR="00061231" w:rsidRPr="00A8061A">
        <w:rPr>
          <w:lang w:val="en-US"/>
        </w:rPr>
        <w:noBreakHyphen/>
        <w:t>VC experiences a significant decreas</w:t>
      </w:r>
      <w:r w:rsidR="00145B92" w:rsidRPr="00A8061A">
        <w:rPr>
          <w:lang w:val="en-US"/>
        </w:rPr>
        <w:t>e after 160 cycles, whereas pLi×AE</w:t>
      </w:r>
      <w:r w:rsidR="00145B92" w:rsidRPr="00A8061A">
        <w:rPr>
          <w:lang w:val="en-US"/>
        </w:rPr>
        <w:noBreakHyphen/>
        <w:t xml:space="preserve">FEC (dark blue) </w:t>
      </w:r>
      <w:r w:rsidR="003A69EF" w:rsidRPr="00A8061A">
        <w:rPr>
          <w:lang w:val="en-US"/>
        </w:rPr>
        <w:t xml:space="preserve">remains </w:t>
      </w:r>
      <w:r w:rsidR="00AC10DD" w:rsidRPr="00A8061A">
        <w:rPr>
          <w:lang w:val="en-US"/>
        </w:rPr>
        <w:t xml:space="preserve">at a </w:t>
      </w:r>
      <w:r w:rsidR="00AC10DD" w:rsidRPr="00A8061A">
        <w:rPr>
          <w:lang w:val="en-US"/>
        </w:rPr>
        <w:lastRenderedPageBreak/>
        <w:t xml:space="preserve">stable high value </w:t>
      </w:r>
      <w:r w:rsidR="00145B92" w:rsidRPr="00A8061A">
        <w:rPr>
          <w:lang w:val="en-US"/>
        </w:rPr>
        <w:t xml:space="preserve">for </w:t>
      </w:r>
      <w:r w:rsidR="00AC10DD" w:rsidRPr="00A8061A">
        <w:rPr>
          <w:lang w:val="en-US"/>
        </w:rPr>
        <w:t>370</w:t>
      </w:r>
      <w:r w:rsidR="00145B92" w:rsidRPr="00A8061A">
        <w:rPr>
          <w:lang w:val="en-US"/>
        </w:rPr>
        <w:t xml:space="preserve"> cycles until a similar CE drop off is measured. The comparison</w:t>
      </w:r>
      <w:r w:rsidR="00145B92" w:rsidRPr="00AC10DD">
        <w:rPr>
          <w:lang w:val="en-US"/>
        </w:rPr>
        <w:t xml:space="preserve"> of the SOH is </w:t>
      </w:r>
      <w:r w:rsidR="00AC10DD">
        <w:rPr>
          <w:lang w:val="en-US"/>
        </w:rPr>
        <w:t xml:space="preserve">similarly different as </w:t>
      </w:r>
      <w:r w:rsidR="00145B92" w:rsidRPr="00AC10DD">
        <w:rPr>
          <w:lang w:val="en-US"/>
        </w:rPr>
        <w:t>pLi×AE</w:t>
      </w:r>
      <w:r w:rsidR="00145B92" w:rsidRPr="00AC10DD">
        <w:rPr>
          <w:lang w:val="en-US"/>
        </w:rPr>
        <w:noBreakHyphen/>
        <w:t>VC (275 cycles) reaches the threshold over 100 cycles early, compared to pLi×AE</w:t>
      </w:r>
      <w:r w:rsidR="00145B92" w:rsidRPr="00AC10DD">
        <w:rPr>
          <w:lang w:val="en-US"/>
        </w:rPr>
        <w:noBreakHyphen/>
        <w:t>FEC (</w:t>
      </w:r>
      <w:r w:rsidR="00AC10DD">
        <w:rPr>
          <w:lang w:val="en-US"/>
        </w:rPr>
        <w:t>395</w:t>
      </w:r>
      <w:r w:rsidR="00145B92" w:rsidRPr="00AC10DD">
        <w:rPr>
          <w:lang w:val="en-US"/>
        </w:rPr>
        <w:t xml:space="preserve"> cycles). The employment of a pSEI, and consequently lack of a </w:t>
      </w:r>
      <w:r w:rsidR="003F3C0F">
        <w:rPr>
          <w:lang w:val="en-US"/>
        </w:rPr>
        <w:t>NPL</w:t>
      </w:r>
      <w:r w:rsidR="00145B92" w:rsidRPr="00AC10DD">
        <w:rPr>
          <w:lang w:val="en-US"/>
        </w:rPr>
        <w:t>, also has an influence on the NMC811</w:t>
      </w:r>
      <w:r w:rsidR="00AC10DD">
        <w:rPr>
          <w:lang w:val="en-US"/>
        </w:rPr>
        <w:t>||Li</w:t>
      </w:r>
      <w:r w:rsidR="00145B92" w:rsidRPr="00AC10DD">
        <w:rPr>
          <w:lang w:val="en-US"/>
        </w:rPr>
        <w:t xml:space="preserve"> cell performance: </w:t>
      </w:r>
      <w:r w:rsidR="00AC10DD">
        <w:rPr>
          <w:lang w:val="en-US"/>
        </w:rPr>
        <w:t xml:space="preserve">The CE decay of </w:t>
      </w:r>
      <w:r w:rsidR="00145B92" w:rsidRPr="00AC10DD">
        <w:rPr>
          <w:lang w:val="en-US"/>
        </w:rPr>
        <w:t>AE</w:t>
      </w:r>
      <w:r w:rsidR="00145B92" w:rsidRPr="00AC10DD">
        <w:rPr>
          <w:lang w:val="en-US"/>
        </w:rPr>
        <w:noBreakHyphen/>
        <w:t>VC@Li×AE</w:t>
      </w:r>
      <w:r w:rsidR="00145B92" w:rsidRPr="00AC10DD">
        <w:rPr>
          <w:lang w:val="en-US"/>
        </w:rPr>
        <w:noBreakHyphen/>
        <w:t>VC (black)</w:t>
      </w:r>
      <w:r w:rsidR="00AC10DD">
        <w:rPr>
          <w:lang w:val="en-US"/>
        </w:rPr>
        <w:t xml:space="preserve"> is stretched out compared to </w:t>
      </w:r>
      <w:r w:rsidR="00AC10DD" w:rsidRPr="00AC10DD">
        <w:rPr>
          <w:lang w:val="en-US"/>
        </w:rPr>
        <w:t>pLi×AE</w:t>
      </w:r>
      <w:r w:rsidR="00AC10DD" w:rsidRPr="00AC10DD">
        <w:rPr>
          <w:lang w:val="en-US"/>
        </w:rPr>
        <w:noBreakHyphen/>
        <w:t>VC</w:t>
      </w:r>
      <w:r w:rsidR="00AC10DD">
        <w:rPr>
          <w:lang w:val="en-US"/>
        </w:rPr>
        <w:t xml:space="preserve"> and is happening later for</w:t>
      </w:r>
      <w:r w:rsidR="00145B92" w:rsidRPr="00AC10DD">
        <w:rPr>
          <w:lang w:val="en-US"/>
        </w:rPr>
        <w:t xml:space="preserve"> AE</w:t>
      </w:r>
      <w:r w:rsidR="00145B92" w:rsidRPr="00AC10DD">
        <w:rPr>
          <w:lang w:val="en-US"/>
        </w:rPr>
        <w:noBreakHyphen/>
        <w:t>FEC@Li×AE</w:t>
      </w:r>
      <w:r w:rsidR="00145B92" w:rsidRPr="00AC10DD">
        <w:rPr>
          <w:lang w:val="en-US"/>
        </w:rPr>
        <w:noBreakHyphen/>
        <w:t>FEC</w:t>
      </w:r>
      <w:r w:rsidR="00AC10DD">
        <w:rPr>
          <w:lang w:val="en-US"/>
        </w:rPr>
        <w:t xml:space="preserve"> (light blue, 385 cycles) compared to pLi</w:t>
      </w:r>
      <w:r w:rsidR="00AC10DD" w:rsidRPr="00AC10DD">
        <w:rPr>
          <w:lang w:val="en-US"/>
        </w:rPr>
        <w:t>×AE</w:t>
      </w:r>
      <w:r w:rsidR="00AC10DD" w:rsidRPr="00AC10DD">
        <w:rPr>
          <w:lang w:val="en-US"/>
        </w:rPr>
        <w:noBreakHyphen/>
        <w:t>FEC</w:t>
      </w:r>
      <w:r w:rsidR="00145B92" w:rsidRPr="00AC10DD">
        <w:rPr>
          <w:lang w:val="en-US"/>
        </w:rPr>
        <w:t>. The SOH also improves for AE</w:t>
      </w:r>
      <w:r w:rsidR="00145B92" w:rsidRPr="00AC10DD">
        <w:rPr>
          <w:lang w:val="en-US"/>
        </w:rPr>
        <w:noBreakHyphen/>
        <w:t>VC@Li×AE</w:t>
      </w:r>
      <w:r w:rsidR="00145B92" w:rsidRPr="00AC10DD">
        <w:rPr>
          <w:lang w:val="en-US"/>
        </w:rPr>
        <w:noBreakHyphen/>
        <w:t>VC (3</w:t>
      </w:r>
      <w:r w:rsidR="00AC10DD">
        <w:rPr>
          <w:lang w:val="en-US"/>
        </w:rPr>
        <w:t>4</w:t>
      </w:r>
      <w:r w:rsidR="00145B92" w:rsidRPr="00AC10DD">
        <w:rPr>
          <w:lang w:val="en-US"/>
        </w:rPr>
        <w:t>0 cycles) and AE</w:t>
      </w:r>
      <w:r w:rsidR="00145B92" w:rsidRPr="00AC10DD">
        <w:rPr>
          <w:lang w:val="en-US"/>
        </w:rPr>
        <w:noBreakHyphen/>
        <w:t>FEC@Li×AE</w:t>
      </w:r>
      <w:r w:rsidR="00145B92" w:rsidRPr="00AC10DD">
        <w:rPr>
          <w:lang w:val="en-US"/>
        </w:rPr>
        <w:noBreakHyphen/>
        <w:t>FEC (4</w:t>
      </w:r>
      <w:r w:rsidR="00AC10DD">
        <w:rPr>
          <w:lang w:val="en-US"/>
        </w:rPr>
        <w:t>20</w:t>
      </w:r>
      <w:r w:rsidR="00145B92" w:rsidRPr="00AC10DD">
        <w:rPr>
          <w:lang w:val="en-US"/>
        </w:rPr>
        <w:t xml:space="preserve"> cycles) compared to their pLi </w:t>
      </w:r>
      <w:r w:rsidR="00A0526E" w:rsidRPr="00AC10DD">
        <w:rPr>
          <w:lang w:val="en-US"/>
        </w:rPr>
        <w:t>equivalents</w:t>
      </w:r>
      <w:r w:rsidR="00145B92" w:rsidRPr="00AC10DD">
        <w:rPr>
          <w:lang w:val="en-US"/>
        </w:rPr>
        <w:t>.</w:t>
      </w:r>
    </w:p>
    <w:p w14:paraId="6D8DF912" w14:textId="1BA4031B" w:rsidR="00AC10DD" w:rsidRPr="00AC10DD" w:rsidRDefault="00732638" w:rsidP="00AC10DD">
      <w:pPr>
        <w:keepNext/>
        <w:jc w:val="both"/>
        <w:rPr>
          <w:rFonts w:ascii="Times New Roman" w:hAnsi="Times New Roman" w:cs="Times New Roman"/>
        </w:rPr>
      </w:pPr>
      <w:r w:rsidRPr="00732638">
        <w:rPr>
          <w:rFonts w:ascii="Times New Roman" w:hAnsi="Times New Roman" w:cs="Times New Roman"/>
          <w:noProof/>
          <w:lang w:eastAsia="de-DE"/>
        </w:rPr>
        <w:drawing>
          <wp:inline distT="0" distB="0" distL="0" distR="0" wp14:anchorId="5FD31DA7" wp14:editId="20E2A0CD">
            <wp:extent cx="5760720" cy="3600450"/>
            <wp:effectExtent l="0" t="0" r="0" b="0"/>
            <wp:docPr id="16" name="Grafik 16" descr="M:\Gruppen\Flüssigelektrolyte\_PROJECTS\LILLINT\Paper\Pretreatment-Method-Paper\Figures\Fig9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Gruppen\Flüssigelektrolyte\_PROJECTS\LILLINT\Paper\Pretreatment-Method-Paper\Figures\Fig9_HR.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600450"/>
                    </a:xfrm>
                    <a:prstGeom prst="rect">
                      <a:avLst/>
                    </a:prstGeom>
                    <a:noFill/>
                    <a:ln>
                      <a:noFill/>
                    </a:ln>
                  </pic:spPr>
                </pic:pic>
              </a:graphicData>
            </a:graphic>
          </wp:inline>
        </w:drawing>
      </w:r>
    </w:p>
    <w:p w14:paraId="391173A3" w14:textId="46E2F668" w:rsidR="00AC10DD" w:rsidRPr="00AC10DD" w:rsidRDefault="00AC10DD" w:rsidP="00AC10DD">
      <w:pPr>
        <w:pStyle w:val="Untertitel"/>
      </w:pPr>
      <w:bookmarkStart w:id="11" w:name="_Ref104301039"/>
      <w:r w:rsidRPr="00AC10DD">
        <w:t xml:space="preserve">Fig. </w:t>
      </w:r>
      <w:r w:rsidR="007160F2">
        <w:rPr>
          <w:noProof/>
        </w:rPr>
        <w:t>9</w:t>
      </w:r>
      <w:bookmarkEnd w:id="11"/>
      <w:r w:rsidRPr="00AC10DD">
        <w:t xml:space="preserve"> Galvanostatic cycling of NMC811||Li cells between 4.2 V – 3.0 V at a constant current of 0.5 mAh cm</w:t>
      </w:r>
      <w:r w:rsidRPr="00AC10DD">
        <w:rPr>
          <w:vertAlign w:val="superscript"/>
        </w:rPr>
        <w:noBreakHyphen/>
        <w:t>2</w:t>
      </w:r>
      <w:r w:rsidRPr="00AC10DD">
        <w:t>. Left axis: SOH (squares); right axis: CE (triangles). Top: pLi×BE – dark red; pLi×AE</w:t>
      </w:r>
      <w:r w:rsidRPr="00AC10DD">
        <w:noBreakHyphen/>
        <w:t>VC – gray, pLi×AE</w:t>
      </w:r>
      <w:r w:rsidRPr="00AC10DD">
        <w:noBreakHyphen/>
        <w:t>FEC – dark blue; Bottom: BE@Li×BE – red, AE</w:t>
      </w:r>
      <w:r w:rsidRPr="00AC10DD">
        <w:noBreakHyphen/>
        <w:t>VC@Li×AE</w:t>
      </w:r>
      <w:r w:rsidRPr="00AC10DD">
        <w:noBreakHyphen/>
        <w:t>VC – black, AE</w:t>
      </w:r>
      <w:r w:rsidRPr="00AC10DD">
        <w:noBreakHyphen/>
        <w:t>FEC@Li×AE</w:t>
      </w:r>
      <w:r w:rsidRPr="00AC10DD">
        <w:noBreakHyphen/>
        <w:t>FEC – light blue.</w:t>
      </w:r>
      <w:r w:rsidR="00795286">
        <w:t xml:space="preserve"> The presented results are an average of three cell setups of each kind.</w:t>
      </w:r>
    </w:p>
    <w:p w14:paraId="39326753" w14:textId="0F2C0792" w:rsidR="006F1417" w:rsidRPr="00CE15A6" w:rsidRDefault="006B23B9" w:rsidP="00AC10DD">
      <w:pPr>
        <w:pStyle w:val="Beschriftung"/>
        <w:rPr>
          <w:sz w:val="24"/>
          <w:lang w:val="en-US"/>
        </w:rPr>
      </w:pPr>
      <w:r>
        <w:rPr>
          <w:lang w:val="en-US"/>
        </w:rPr>
        <w:t>Based on the obtained results</w:t>
      </w:r>
      <w:r w:rsidR="00D73C4E">
        <w:rPr>
          <w:lang w:val="en-US"/>
        </w:rPr>
        <w:t xml:space="preserve">, FEC is shown to </w:t>
      </w:r>
      <w:r w:rsidR="00D73C4E" w:rsidRPr="00A8061A">
        <w:rPr>
          <w:lang w:val="en-US"/>
        </w:rPr>
        <w:t>be the be</w:t>
      </w:r>
      <w:r w:rsidR="00F65E32" w:rsidRPr="00A8061A">
        <w:rPr>
          <w:lang w:val="en-US"/>
        </w:rPr>
        <w:t>t</w:t>
      </w:r>
      <w:r w:rsidR="00A0526E" w:rsidRPr="00A8061A">
        <w:rPr>
          <w:lang w:val="en-US"/>
        </w:rPr>
        <w:t>ter</w:t>
      </w:r>
      <w:r w:rsidR="00D73C4E" w:rsidRPr="00A8061A">
        <w:rPr>
          <w:lang w:val="en-US"/>
        </w:rPr>
        <w:t xml:space="preserve"> additive for NMC811||Li cell</w:t>
      </w:r>
      <w:r w:rsidRPr="00A8061A">
        <w:rPr>
          <w:lang w:val="en-US"/>
        </w:rPr>
        <w:t xml:space="preserve"> chemistry</w:t>
      </w:r>
      <w:r w:rsidR="00B3640D" w:rsidRPr="00A8061A">
        <w:rPr>
          <w:lang w:val="en-US"/>
        </w:rPr>
        <w:t xml:space="preserve"> evaluated</w:t>
      </w:r>
      <w:r w:rsidR="00D73C4E" w:rsidRPr="00A8061A">
        <w:rPr>
          <w:lang w:val="en-US"/>
        </w:rPr>
        <w:t xml:space="preserve"> in this study, both in </w:t>
      </w:r>
      <w:r w:rsidR="00A0526E" w:rsidRPr="00A8061A">
        <w:rPr>
          <w:lang w:val="en-US"/>
        </w:rPr>
        <w:t xml:space="preserve">terms </w:t>
      </w:r>
      <w:r w:rsidR="00D73C4E" w:rsidRPr="00A8061A">
        <w:rPr>
          <w:lang w:val="en-US"/>
        </w:rPr>
        <w:t xml:space="preserve">of CE and cell setup lifetime. </w:t>
      </w:r>
      <w:r w:rsidR="006F2D49" w:rsidRPr="00A8061A">
        <w:rPr>
          <w:lang w:val="en-US"/>
        </w:rPr>
        <w:t>Even though, the presence of 5 wt.% VC as an electrolyte additive in AE</w:t>
      </w:r>
      <w:r w:rsidR="006F2D49" w:rsidRPr="00A8061A">
        <w:rPr>
          <w:lang w:val="en-US"/>
        </w:rPr>
        <w:noBreakHyphen/>
        <w:t>VC was shown to be harmful for the stripping/plating behavior on lithium metal electrodes, AE</w:t>
      </w:r>
      <w:r w:rsidR="006F2D49" w:rsidRPr="00A8061A">
        <w:rPr>
          <w:lang w:val="en-US"/>
        </w:rPr>
        <w:noBreakHyphen/>
        <w:t xml:space="preserve">VC vastly outperforms BE in a NMC811ǁLi cell setup. Therefore, it </w:t>
      </w:r>
      <w:r w:rsidR="00D0147A" w:rsidRPr="00A8061A">
        <w:rPr>
          <w:lang w:val="en-US"/>
        </w:rPr>
        <w:t>was</w:t>
      </w:r>
      <w:r w:rsidR="006F2D49" w:rsidRPr="00A8061A">
        <w:rPr>
          <w:lang w:val="en-US"/>
        </w:rPr>
        <w:t xml:space="preserve"> concluded, that the film forming effect of VC is mainly enhancing the characteristics of the CEI rather than those of the SEI and that the CEI characteristics outweigh its SEI counterparts in importance for LMB cell performance. On the other hand, utilization of FEC, as part of the AE</w:t>
      </w:r>
      <w:r w:rsidR="006F2D49" w:rsidRPr="00A8061A">
        <w:rPr>
          <w:lang w:val="en-US"/>
        </w:rPr>
        <w:noBreakHyphen/>
        <w:t>FEC electrolyte, results in an enhancing influence on both the SEI and CEI. Previous publications reported on similar decomposition products of FEC and VC on the cathode side to be the reason for improvement of the CEI characteristics, and thereby LMB performance.</w:t>
      </w:r>
      <w:r w:rsidR="006F2D49" w:rsidRPr="00A8061A">
        <w:rPr>
          <w:noProof/>
          <w:lang w:val="en-US"/>
        </w:rPr>
        <w:t>[66,</w:t>
      </w:r>
      <w:r w:rsidR="006F2D49" w:rsidRPr="00A8061A">
        <w:rPr>
          <w:lang w:val="en-US"/>
        </w:rPr>
        <w:t xml:space="preserve">67] Consequently, only FEC can be categorized as a multifunctional film forming additive, enhancing both SEI and CEI characteristics, which has to be an essential property of future electrolyte additives for LMBs.[68,69] </w:t>
      </w:r>
      <w:r w:rsidR="00CC5FA8" w:rsidRPr="00A8061A">
        <w:rPr>
          <w:lang w:val="en-US"/>
        </w:rPr>
        <w:t xml:space="preserve">Finally, the employment of a pSEI was also </w:t>
      </w:r>
      <w:r w:rsidR="00044AD6" w:rsidRPr="00A8061A">
        <w:rPr>
          <w:lang w:val="en-US"/>
        </w:rPr>
        <w:t xml:space="preserve">found </w:t>
      </w:r>
      <w:r w:rsidR="00CC5FA8" w:rsidRPr="00A8061A">
        <w:rPr>
          <w:lang w:val="en-US"/>
        </w:rPr>
        <w:t xml:space="preserve">to enhance the performance of </w:t>
      </w:r>
      <w:r w:rsidR="00044AD6" w:rsidRPr="00A8061A">
        <w:rPr>
          <w:lang w:val="en-US"/>
        </w:rPr>
        <w:t xml:space="preserve">NMC811ǁ Li </w:t>
      </w:r>
      <w:r w:rsidR="00CC5FA8" w:rsidRPr="00A8061A">
        <w:rPr>
          <w:lang w:val="en-US"/>
        </w:rPr>
        <w:t>cell</w:t>
      </w:r>
      <w:r w:rsidR="00AC10DD" w:rsidRPr="00A8061A">
        <w:rPr>
          <w:lang w:val="en-US"/>
        </w:rPr>
        <w:t>s: The CE decay is less pronounced</w:t>
      </w:r>
      <w:r w:rsidR="00AC10DD">
        <w:rPr>
          <w:lang w:val="en-US"/>
        </w:rPr>
        <w:t xml:space="preserve"> and the cell lifetime was increased by 15% (BE@Li×BE), 24% (AE</w:t>
      </w:r>
      <w:r w:rsidR="00AC10DD">
        <w:rPr>
          <w:lang w:val="en-US"/>
        </w:rPr>
        <w:noBreakHyphen/>
        <w:t>VC@Li×AE</w:t>
      </w:r>
      <w:r w:rsidR="00AC10DD">
        <w:rPr>
          <w:lang w:val="en-US"/>
        </w:rPr>
        <w:noBreakHyphen/>
        <w:t>VC)  and 6</w:t>
      </w:r>
      <w:r w:rsidR="00615F09">
        <w:rPr>
          <w:lang w:val="en-US"/>
        </w:rPr>
        <w:t>%</w:t>
      </w:r>
      <w:r w:rsidR="00AC10DD">
        <w:rPr>
          <w:lang w:val="en-US"/>
        </w:rPr>
        <w:t xml:space="preserve"> (AE</w:t>
      </w:r>
      <w:r w:rsidR="00AC10DD">
        <w:rPr>
          <w:lang w:val="en-US"/>
        </w:rPr>
        <w:noBreakHyphen/>
        <w:t>FEC@Li×AE</w:t>
      </w:r>
      <w:r w:rsidR="00AC10DD">
        <w:rPr>
          <w:lang w:val="en-US"/>
        </w:rPr>
        <w:noBreakHyphen/>
        <w:t>FEC)</w:t>
      </w:r>
      <w:r w:rsidR="003914F2">
        <w:rPr>
          <w:lang w:val="en-US"/>
        </w:rPr>
        <w:t xml:space="preserve"> compared to its pLi containing analogs.</w:t>
      </w:r>
    </w:p>
    <w:p w14:paraId="0660627A" w14:textId="5339868C" w:rsidR="00AC10DD" w:rsidRDefault="00AC10DD" w:rsidP="009F2841">
      <w:pPr>
        <w:pStyle w:val="MT1"/>
      </w:pPr>
      <w:r>
        <w:t>Conclusion</w:t>
      </w:r>
    </w:p>
    <w:p w14:paraId="66253E5B" w14:textId="75893122" w:rsidR="00AC10DD" w:rsidRDefault="00AC10DD" w:rsidP="00AC10DD">
      <w:pPr>
        <w:pStyle w:val="Beschriftung"/>
        <w:rPr>
          <w:lang w:val="en-US"/>
        </w:rPr>
      </w:pPr>
      <w:r>
        <w:rPr>
          <w:lang w:val="en-US"/>
        </w:rPr>
        <w:t xml:space="preserve">The SEI has long eluted the scientific community, </w:t>
      </w:r>
      <w:r w:rsidR="006B23B9">
        <w:rPr>
          <w:lang w:val="en-US"/>
        </w:rPr>
        <w:t xml:space="preserve">however </w:t>
      </w:r>
      <w:r>
        <w:rPr>
          <w:lang w:val="en-US"/>
        </w:rPr>
        <w:t xml:space="preserve">this </w:t>
      </w:r>
      <w:r w:rsidR="002C541A">
        <w:rPr>
          <w:lang w:val="en-US"/>
        </w:rPr>
        <w:t xml:space="preserve">study reports </w:t>
      </w:r>
      <w:r w:rsidR="00514E18">
        <w:rPr>
          <w:lang w:val="en-US"/>
        </w:rPr>
        <w:t>the</w:t>
      </w:r>
      <w:r w:rsidR="006B23B9">
        <w:rPr>
          <w:lang w:val="en-US"/>
        </w:rPr>
        <w:t xml:space="preserve"> </w:t>
      </w:r>
      <w:r>
        <w:rPr>
          <w:lang w:val="en-US"/>
        </w:rPr>
        <w:t>first time analysis of an as</w:t>
      </w:r>
      <w:r>
        <w:rPr>
          <w:lang w:val="en-US"/>
        </w:rPr>
        <w:noBreakHyphen/>
        <w:t xml:space="preserve">defined (preformed) SEI, by utilizing an advanced preformation </w:t>
      </w:r>
      <w:r w:rsidR="00852B15">
        <w:rPr>
          <w:lang w:val="en-US"/>
        </w:rPr>
        <w:t>method</w:t>
      </w:r>
      <w:r>
        <w:rPr>
          <w:lang w:val="en-US"/>
        </w:rPr>
        <w:t xml:space="preserve">, which allows for the exclusion of the influential </w:t>
      </w:r>
      <w:r w:rsidR="003F3C0F">
        <w:rPr>
          <w:lang w:val="en-US"/>
        </w:rPr>
        <w:t>NPL</w:t>
      </w:r>
      <w:r>
        <w:rPr>
          <w:lang w:val="en-US"/>
        </w:rPr>
        <w:t xml:space="preserve"> </w:t>
      </w:r>
      <w:r w:rsidR="00514E18">
        <w:rPr>
          <w:lang w:val="en-US"/>
        </w:rPr>
        <w:t>covering</w:t>
      </w:r>
      <w:r>
        <w:rPr>
          <w:lang w:val="en-US"/>
        </w:rPr>
        <w:t xml:space="preserve"> commercial lithium metal. The morphological, chemical, and electrochemical analysis revealed a positive effect of an uncontaminated pSEI on lithium metal electrodes in Li||Li symmetric and LMB full cell setups. pSEI containing cell setups experienced lower overvoltage profiles, reduced R</w:t>
      </w:r>
      <w:r>
        <w:rPr>
          <w:vertAlign w:val="subscript"/>
          <w:lang w:val="en-US"/>
        </w:rPr>
        <w:t>SEI</w:t>
      </w:r>
      <w:r>
        <w:rPr>
          <w:lang w:val="en-US"/>
        </w:rPr>
        <w:t xml:space="preserve"> values and more homogeneous stripping/plating behavior</w:t>
      </w:r>
      <w:r w:rsidR="002B22EB">
        <w:rPr>
          <w:lang w:val="en-US"/>
        </w:rPr>
        <w:t>s</w:t>
      </w:r>
      <w:r>
        <w:rPr>
          <w:lang w:val="en-US"/>
        </w:rPr>
        <w:t xml:space="preserve"> as well as longer cell lifetimes in a NMC811||Li </w:t>
      </w:r>
      <w:r w:rsidR="002B22EB">
        <w:rPr>
          <w:lang w:val="en-US"/>
        </w:rPr>
        <w:t xml:space="preserve">full cell </w:t>
      </w:r>
      <w:r>
        <w:rPr>
          <w:lang w:val="en-US"/>
        </w:rPr>
        <w:t xml:space="preserve">setup. </w:t>
      </w:r>
      <w:r>
        <w:rPr>
          <w:lang w:val="en-US"/>
        </w:rPr>
        <w:lastRenderedPageBreak/>
        <w:t xml:space="preserve">Furthermore, the absence of a </w:t>
      </w:r>
      <w:r w:rsidR="003F3C0F">
        <w:rPr>
          <w:lang w:val="en-US"/>
        </w:rPr>
        <w:t>NPL</w:t>
      </w:r>
      <w:r>
        <w:rPr>
          <w:lang w:val="en-US"/>
        </w:rPr>
        <w:t xml:space="preserve"> enabled </w:t>
      </w:r>
      <w:r w:rsidR="002B22EB">
        <w:rPr>
          <w:lang w:val="en-US"/>
        </w:rPr>
        <w:t xml:space="preserve">a </w:t>
      </w:r>
      <w:r w:rsidR="00615F09">
        <w:rPr>
          <w:lang w:val="en-US"/>
        </w:rPr>
        <w:t xml:space="preserve">first </w:t>
      </w:r>
      <w:r w:rsidR="002B22EB">
        <w:rPr>
          <w:lang w:val="en-US"/>
        </w:rPr>
        <w:t>unhindered</w:t>
      </w:r>
      <w:r w:rsidR="00852B15">
        <w:rPr>
          <w:lang w:val="en-US"/>
        </w:rPr>
        <w:t xml:space="preserve"> side</w:t>
      </w:r>
      <w:r w:rsidR="002B22EB">
        <w:rPr>
          <w:lang w:val="en-US"/>
        </w:rPr>
        <w:t>-</w:t>
      </w:r>
      <w:r w:rsidR="00852B15">
        <w:rPr>
          <w:lang w:val="en-US"/>
        </w:rPr>
        <w:t>by</w:t>
      </w:r>
      <w:r w:rsidR="002B22EB">
        <w:rPr>
          <w:lang w:val="en-US"/>
        </w:rPr>
        <w:t>-</w:t>
      </w:r>
      <w:r w:rsidR="00852B15">
        <w:rPr>
          <w:lang w:val="en-US"/>
        </w:rPr>
        <w:t xml:space="preserve">side evaluation of </w:t>
      </w:r>
      <w:r w:rsidR="00615F09">
        <w:rPr>
          <w:lang w:val="en-US"/>
        </w:rPr>
        <w:t xml:space="preserve">VC and FEC </w:t>
      </w:r>
      <w:r w:rsidR="006B23B9">
        <w:rPr>
          <w:lang w:val="en-US"/>
        </w:rPr>
        <w:t xml:space="preserve">film forming additives </w:t>
      </w:r>
      <w:r w:rsidR="00514E18">
        <w:rPr>
          <w:lang w:val="en-US"/>
        </w:rPr>
        <w:t>as part of a</w:t>
      </w:r>
      <w:r w:rsidR="00615F09">
        <w:rPr>
          <w:lang w:val="en-US"/>
        </w:rPr>
        <w:t xml:space="preserve"> </w:t>
      </w:r>
      <w:r w:rsidR="00C807F7">
        <w:rPr>
          <w:lang w:val="en-US"/>
        </w:rPr>
        <w:t>p</w:t>
      </w:r>
      <w:r w:rsidR="00615F09">
        <w:rPr>
          <w:lang w:val="en-US"/>
        </w:rPr>
        <w:t>SEI</w:t>
      </w:r>
      <w:r w:rsidR="002B22EB">
        <w:rPr>
          <w:lang w:val="en-US"/>
        </w:rPr>
        <w:t xml:space="preserve"> not contaminated by an NPL</w:t>
      </w:r>
      <w:r>
        <w:rPr>
          <w:lang w:val="en-US"/>
        </w:rPr>
        <w:t>.</w:t>
      </w:r>
      <w:r w:rsidR="006C05E2">
        <w:rPr>
          <w:lang w:val="en-US"/>
        </w:rPr>
        <w:t xml:space="preserve"> FEC </w:t>
      </w:r>
      <w:r>
        <w:rPr>
          <w:lang w:val="en-US"/>
        </w:rPr>
        <w:t xml:space="preserve">is determined to be </w:t>
      </w:r>
      <w:r w:rsidR="006C05E2">
        <w:rPr>
          <w:lang w:val="en-US"/>
        </w:rPr>
        <w:t xml:space="preserve">the clearly superior </w:t>
      </w:r>
      <w:r w:rsidR="00C807F7">
        <w:rPr>
          <w:lang w:val="en-US"/>
        </w:rPr>
        <w:t xml:space="preserve">additive </w:t>
      </w:r>
      <w:r>
        <w:rPr>
          <w:lang w:val="en-US"/>
        </w:rPr>
        <w:t>for lithium metal battery based cell setups, as it outperforms VC in all conducted analys</w:t>
      </w:r>
      <w:r w:rsidR="002B22EB">
        <w:rPr>
          <w:lang w:val="en-US"/>
        </w:rPr>
        <w:t>e</w:t>
      </w:r>
      <w:r>
        <w:rPr>
          <w:lang w:val="en-US"/>
        </w:rPr>
        <w:t>s.</w:t>
      </w:r>
    </w:p>
    <w:p w14:paraId="6C4ABBD4" w14:textId="353B7437" w:rsidR="009E633E" w:rsidRPr="009E633E" w:rsidRDefault="006C05E2" w:rsidP="009E633E">
      <w:pPr>
        <w:pStyle w:val="Beschriftung"/>
        <w:rPr>
          <w:szCs w:val="20"/>
          <w:lang w:val="en-US"/>
        </w:rPr>
      </w:pPr>
      <w:r>
        <w:rPr>
          <w:lang w:val="en-US"/>
        </w:rPr>
        <w:t xml:space="preserve">Characterization of the </w:t>
      </w:r>
      <w:r w:rsidR="003F3C0F">
        <w:rPr>
          <w:lang w:val="en-US"/>
        </w:rPr>
        <w:t>NPL</w:t>
      </w:r>
      <w:r>
        <w:rPr>
          <w:lang w:val="en-US"/>
        </w:rPr>
        <w:t xml:space="preserve"> and pSEIs by means of optical </w:t>
      </w:r>
      <w:r w:rsidR="003914F2">
        <w:rPr>
          <w:lang w:val="en-US"/>
        </w:rPr>
        <w:t xml:space="preserve">analysis (incl. </w:t>
      </w:r>
      <w:r w:rsidR="003914F2">
        <w:rPr>
          <w:i/>
          <w:lang w:val="en-US"/>
        </w:rPr>
        <w:t xml:space="preserve">cryo </w:t>
      </w:r>
      <w:r w:rsidR="003914F2">
        <w:rPr>
          <w:lang w:val="en-US"/>
        </w:rPr>
        <w:t>FIB SEM</w:t>
      </w:r>
      <w:r w:rsidR="00EE3D45">
        <w:rPr>
          <w:lang w:val="en-US"/>
        </w:rPr>
        <w:t>/EDX</w:t>
      </w:r>
      <w:r w:rsidR="003914F2">
        <w:rPr>
          <w:lang w:val="en-US"/>
        </w:rPr>
        <w:t>)</w:t>
      </w:r>
      <w:r>
        <w:rPr>
          <w:lang w:val="en-US"/>
        </w:rPr>
        <w:t xml:space="preserve"> </w:t>
      </w:r>
      <w:r w:rsidR="003914F2">
        <w:rPr>
          <w:lang w:val="en-US"/>
        </w:rPr>
        <w:t xml:space="preserve">and chemical analysis </w:t>
      </w:r>
      <w:r w:rsidR="003914F2">
        <w:rPr>
          <w:i/>
          <w:lang w:val="en-US"/>
        </w:rPr>
        <w:t>via</w:t>
      </w:r>
      <w:r w:rsidR="003914F2">
        <w:rPr>
          <w:lang w:val="en-US"/>
        </w:rPr>
        <w:t xml:space="preserve"> XPS measurements, revealed a </w:t>
      </w:r>
      <w:r w:rsidR="00A75202">
        <w:rPr>
          <w:lang w:val="en-US"/>
        </w:rPr>
        <w:t xml:space="preserve">significant </w:t>
      </w:r>
      <w:r w:rsidR="002754C4">
        <w:rPr>
          <w:lang w:val="en-US"/>
        </w:rPr>
        <w:t>difference</w:t>
      </w:r>
      <w:r w:rsidR="003914F2">
        <w:rPr>
          <w:lang w:val="en-US"/>
        </w:rPr>
        <w:t xml:space="preserve"> even </w:t>
      </w:r>
      <w:r w:rsidR="00A75202">
        <w:rPr>
          <w:lang w:val="en-US"/>
        </w:rPr>
        <w:t xml:space="preserve">prior to </w:t>
      </w:r>
      <w:r w:rsidR="003914F2">
        <w:rPr>
          <w:lang w:val="en-US"/>
        </w:rPr>
        <w:t xml:space="preserve">cell assembly: Whereas the </w:t>
      </w:r>
      <w:r w:rsidR="003F3C0F">
        <w:rPr>
          <w:lang w:val="en-US"/>
        </w:rPr>
        <w:t>NPL</w:t>
      </w:r>
      <w:r w:rsidR="003914F2">
        <w:rPr>
          <w:lang w:val="en-US"/>
        </w:rPr>
        <w:t xml:space="preserve"> </w:t>
      </w:r>
      <w:r w:rsidR="00514E18">
        <w:rPr>
          <w:lang w:val="en-US"/>
        </w:rPr>
        <w:t>is</w:t>
      </w:r>
      <w:r w:rsidR="003914F2">
        <w:rPr>
          <w:lang w:val="en-US"/>
        </w:rPr>
        <w:t xml:space="preserve"> dense and </w:t>
      </w:r>
      <w:r w:rsidR="00514E18">
        <w:rPr>
          <w:lang w:val="en-US"/>
        </w:rPr>
        <w:t>contains</w:t>
      </w:r>
      <w:r w:rsidR="003914F2">
        <w:rPr>
          <w:lang w:val="en-US"/>
        </w:rPr>
        <w:t xml:space="preserve"> mostly lithium carbonate, the pSEIs </w:t>
      </w:r>
      <w:r w:rsidR="00514E18">
        <w:rPr>
          <w:lang w:val="en-US"/>
        </w:rPr>
        <w:t>is</w:t>
      </w:r>
      <w:r w:rsidR="002754C4">
        <w:rPr>
          <w:lang w:val="en-US"/>
        </w:rPr>
        <w:t xml:space="preserve"> buil</w:t>
      </w:r>
      <w:r w:rsidR="00AC10DD">
        <w:rPr>
          <w:lang w:val="en-US"/>
        </w:rPr>
        <w:t>t</w:t>
      </w:r>
      <w:r w:rsidR="002754C4">
        <w:rPr>
          <w:lang w:val="en-US"/>
        </w:rPr>
        <w:t xml:space="preserve"> on</w:t>
      </w:r>
      <w:r w:rsidR="003914F2">
        <w:rPr>
          <w:lang w:val="en-US"/>
        </w:rPr>
        <w:t xml:space="preserve"> a wider </w:t>
      </w:r>
      <w:r w:rsidR="002754C4">
        <w:rPr>
          <w:lang w:val="en-US"/>
        </w:rPr>
        <w:t>variety</w:t>
      </w:r>
      <w:r w:rsidR="003914F2">
        <w:rPr>
          <w:lang w:val="en-US"/>
        </w:rPr>
        <w:t xml:space="preserve"> of different fluoride </w:t>
      </w:r>
      <w:r w:rsidR="002754C4">
        <w:rPr>
          <w:lang w:val="en-US"/>
        </w:rPr>
        <w:t xml:space="preserve">and </w:t>
      </w:r>
      <w:r w:rsidR="003914F2">
        <w:rPr>
          <w:lang w:val="en-US"/>
        </w:rPr>
        <w:t xml:space="preserve">oxygen </w:t>
      </w:r>
      <w:r w:rsidR="002754C4">
        <w:rPr>
          <w:lang w:val="en-US"/>
        </w:rPr>
        <w:t>components. Notably, no poly</w:t>
      </w:r>
      <w:r w:rsidR="002754C4">
        <w:rPr>
          <w:lang w:val="en-US"/>
        </w:rPr>
        <w:noBreakHyphen/>
        <w:t>VC was detected during chemical analysis of the pSEI</w:t>
      </w:r>
      <w:r w:rsidR="00B3640D">
        <w:rPr>
          <w:lang w:val="en-US"/>
        </w:rPr>
        <w:t xml:space="preserve"> based AE-VC</w:t>
      </w:r>
      <w:r w:rsidR="002754C4">
        <w:rPr>
          <w:lang w:val="en-US"/>
        </w:rPr>
        <w:t>. The pSEIs furthermore var</w:t>
      </w:r>
      <w:r w:rsidR="00B3640D">
        <w:rPr>
          <w:lang w:val="en-US"/>
        </w:rPr>
        <w:t>ied</w:t>
      </w:r>
      <w:r w:rsidR="002754C4">
        <w:rPr>
          <w:lang w:val="en-US"/>
        </w:rPr>
        <w:t xml:space="preserve"> in thickness depending on the electrolyte formulation</w:t>
      </w:r>
      <w:r w:rsidR="00B3640D">
        <w:rPr>
          <w:lang w:val="en-US"/>
        </w:rPr>
        <w:t xml:space="preserve"> used for their generation</w:t>
      </w:r>
      <w:r w:rsidR="002754C4">
        <w:rPr>
          <w:lang w:val="en-US"/>
        </w:rPr>
        <w:t xml:space="preserve">. </w:t>
      </w:r>
      <w:r>
        <w:rPr>
          <w:lang w:val="en-US"/>
        </w:rPr>
        <w:t xml:space="preserve">Stripping/plating experiments and </w:t>
      </w:r>
      <w:r>
        <w:rPr>
          <w:i/>
          <w:lang w:val="en-US"/>
        </w:rPr>
        <w:t xml:space="preserve">post mortem </w:t>
      </w:r>
      <w:r w:rsidRPr="006C05E2">
        <w:rPr>
          <w:lang w:val="en-US"/>
        </w:rPr>
        <w:t xml:space="preserve">optical </w:t>
      </w:r>
      <w:r>
        <w:rPr>
          <w:lang w:val="en-US"/>
        </w:rPr>
        <w:t xml:space="preserve">analysis (incl. SEM) revealed an inhibiting effect of the </w:t>
      </w:r>
      <w:r w:rsidR="003F3C0F">
        <w:rPr>
          <w:lang w:val="en-US"/>
        </w:rPr>
        <w:t>NPL</w:t>
      </w:r>
      <w:r w:rsidR="002754C4">
        <w:rPr>
          <w:lang w:val="en-US"/>
        </w:rPr>
        <w:t xml:space="preserve"> and</w:t>
      </w:r>
      <w:r>
        <w:rPr>
          <w:lang w:val="en-US"/>
        </w:rPr>
        <w:t xml:space="preserve"> the additive VC on the stripping/plating behavior of lithium metal</w:t>
      </w:r>
      <w:r w:rsidR="002754C4">
        <w:rPr>
          <w:lang w:val="en-US"/>
        </w:rPr>
        <w:t>, caused by an increased R</w:t>
      </w:r>
      <w:r w:rsidR="002754C4">
        <w:rPr>
          <w:vertAlign w:val="subscript"/>
          <w:lang w:val="en-US"/>
        </w:rPr>
        <w:t>SEI</w:t>
      </w:r>
      <w:r w:rsidR="00B3640D">
        <w:rPr>
          <w:lang w:val="en-US"/>
        </w:rPr>
        <w:t>, measured by</w:t>
      </w:r>
      <w:r w:rsidR="00514E18">
        <w:rPr>
          <w:lang w:val="en-US"/>
        </w:rPr>
        <w:t xml:space="preserve"> </w:t>
      </w:r>
      <w:r w:rsidR="008E2385">
        <w:rPr>
          <w:i/>
          <w:lang w:val="en-US"/>
        </w:rPr>
        <w:t xml:space="preserve">operando </w:t>
      </w:r>
      <w:r w:rsidR="00B3640D">
        <w:rPr>
          <w:lang w:val="en-US"/>
        </w:rPr>
        <w:t xml:space="preserve">EIS measurements. In contrast, the </w:t>
      </w:r>
      <w:r w:rsidR="001A5E99">
        <w:rPr>
          <w:lang w:val="en-US"/>
        </w:rPr>
        <w:t>FEC</w:t>
      </w:r>
      <w:r w:rsidR="00B3640D">
        <w:rPr>
          <w:lang w:val="en-US"/>
        </w:rPr>
        <w:t xml:space="preserve"> </w:t>
      </w:r>
      <w:r w:rsidR="001A5E99">
        <w:rPr>
          <w:lang w:val="en-US"/>
        </w:rPr>
        <w:t xml:space="preserve">based pSEI </w:t>
      </w:r>
      <w:r w:rsidR="00B3640D">
        <w:rPr>
          <w:lang w:val="en-US"/>
        </w:rPr>
        <w:t>containing cell setup AE</w:t>
      </w:r>
      <w:r w:rsidR="00B3640D">
        <w:rPr>
          <w:lang w:val="en-US"/>
        </w:rPr>
        <w:noBreakHyphen/>
        <w:t>FEC@Li×AE</w:t>
      </w:r>
      <w:r w:rsidR="00B3640D">
        <w:rPr>
          <w:lang w:val="en-US"/>
        </w:rPr>
        <w:noBreakHyphen/>
        <w:t>FEC resulted in the lowest measure</w:t>
      </w:r>
      <w:r w:rsidR="001A5E99">
        <w:rPr>
          <w:lang w:val="en-US"/>
        </w:rPr>
        <w:t>d</w:t>
      </w:r>
      <w:r w:rsidR="00B3640D">
        <w:rPr>
          <w:lang w:val="en-US"/>
        </w:rPr>
        <w:t xml:space="preserve"> R</w:t>
      </w:r>
      <w:r w:rsidR="00B3640D">
        <w:rPr>
          <w:vertAlign w:val="subscript"/>
          <w:lang w:val="en-US"/>
        </w:rPr>
        <w:t>SEI</w:t>
      </w:r>
      <w:r w:rsidR="00B3640D">
        <w:rPr>
          <w:lang w:val="en-US"/>
        </w:rPr>
        <w:t xml:space="preserve"> values</w:t>
      </w:r>
      <w:r w:rsidR="001A5E99">
        <w:rPr>
          <w:lang w:val="en-US"/>
        </w:rPr>
        <w:t xml:space="preserve"> and a</w:t>
      </w:r>
      <w:r w:rsidR="00AC10DD">
        <w:rPr>
          <w:lang w:val="en-US"/>
        </w:rPr>
        <w:t xml:space="preserve">chieved the </w:t>
      </w:r>
      <w:r w:rsidR="001A5E99">
        <w:rPr>
          <w:lang w:val="en-US"/>
        </w:rPr>
        <w:t xml:space="preserve">longest </w:t>
      </w:r>
      <w:r w:rsidR="002B22EB">
        <w:rPr>
          <w:lang w:val="en-US"/>
        </w:rPr>
        <w:t xml:space="preserve">cycle </w:t>
      </w:r>
      <w:r w:rsidR="001A5E99">
        <w:rPr>
          <w:lang w:val="en-US"/>
        </w:rPr>
        <w:t>lifetimes in both the stripping/plating and NMC811||Li galvanostatic cycling experiments.</w:t>
      </w:r>
      <w:r w:rsidR="009E633E">
        <w:rPr>
          <w:lang w:val="en-US"/>
        </w:rPr>
        <w:t xml:space="preserve"> Therefore, only FEC can be </w:t>
      </w:r>
      <w:r w:rsidR="00912A9E">
        <w:rPr>
          <w:lang w:val="en-US"/>
        </w:rPr>
        <w:t>recognized as</w:t>
      </w:r>
      <w:r w:rsidR="009E633E">
        <w:rPr>
          <w:lang w:val="en-US"/>
        </w:rPr>
        <w:t xml:space="preserve"> a multifunctional additive, enhancing both SEI and CEI characteristics, whereas VC seams to only enhance a full cell performance.</w:t>
      </w:r>
      <w:r w:rsidR="001A5E99">
        <w:rPr>
          <w:lang w:val="en-US"/>
        </w:rPr>
        <w:t xml:space="preserve"> Finally, </w:t>
      </w:r>
      <w:r w:rsidR="001A5E99">
        <w:rPr>
          <w:i/>
          <w:lang w:val="en-US"/>
        </w:rPr>
        <w:t>post mortem</w:t>
      </w:r>
      <w:r w:rsidR="001A5E99">
        <w:rPr>
          <w:lang w:val="en-US"/>
        </w:rPr>
        <w:t xml:space="preserve"> Raman measurements revealed ring</w:t>
      </w:r>
      <w:r w:rsidR="002B22EB">
        <w:rPr>
          <w:lang w:val="en-US"/>
        </w:rPr>
        <w:t>-</w:t>
      </w:r>
      <w:r w:rsidR="001A5E99">
        <w:rPr>
          <w:lang w:val="en-US"/>
        </w:rPr>
        <w:t xml:space="preserve">opening decomposition products of FEC to be a </w:t>
      </w:r>
      <w:r w:rsidR="001A5E99" w:rsidRPr="00AC10DD">
        <w:rPr>
          <w:szCs w:val="20"/>
          <w:lang w:val="en-US"/>
        </w:rPr>
        <w:t>significant part the AE</w:t>
      </w:r>
      <w:r w:rsidR="001A5E99" w:rsidRPr="00AC10DD">
        <w:rPr>
          <w:szCs w:val="20"/>
          <w:lang w:val="en-US"/>
        </w:rPr>
        <w:noBreakHyphen/>
        <w:t>FEC</w:t>
      </w:r>
      <w:r w:rsidR="00AC10DD">
        <w:rPr>
          <w:szCs w:val="20"/>
          <w:lang w:val="en-US"/>
        </w:rPr>
        <w:t>-</w:t>
      </w:r>
      <w:r w:rsidR="001A5E99" w:rsidRPr="00AC10DD">
        <w:rPr>
          <w:szCs w:val="20"/>
          <w:lang w:val="en-US"/>
        </w:rPr>
        <w:t>based SEI.</w:t>
      </w:r>
      <w:r w:rsidR="00EE3D45" w:rsidRPr="00AC10DD">
        <w:rPr>
          <w:szCs w:val="20"/>
          <w:lang w:val="en-US"/>
        </w:rPr>
        <w:t xml:space="preserve"> </w:t>
      </w:r>
      <w:r w:rsidR="002B22EB">
        <w:rPr>
          <w:szCs w:val="20"/>
          <w:lang w:val="en-US"/>
        </w:rPr>
        <w:t>In conclusion</w:t>
      </w:r>
      <w:r w:rsidR="00EE3D45" w:rsidRPr="00AC10DD">
        <w:rPr>
          <w:szCs w:val="20"/>
          <w:lang w:val="en-US"/>
        </w:rPr>
        <w:t xml:space="preserve">, the utilization of the pSEI concept was shown to be a useful addition to the toolbox to evaluate </w:t>
      </w:r>
      <w:r w:rsidR="002B22EB">
        <w:rPr>
          <w:szCs w:val="20"/>
          <w:lang w:val="en-US"/>
        </w:rPr>
        <w:t xml:space="preserve">and understand </w:t>
      </w:r>
      <w:r w:rsidR="009E633E">
        <w:rPr>
          <w:szCs w:val="20"/>
          <w:lang w:val="en-US"/>
        </w:rPr>
        <w:t xml:space="preserve">the performance of </w:t>
      </w:r>
      <w:r w:rsidR="00EE3D45" w:rsidRPr="00AC10DD">
        <w:rPr>
          <w:szCs w:val="20"/>
          <w:lang w:val="en-US"/>
        </w:rPr>
        <w:t>advanced aprotic liquid electrolytes for lithium metal</w:t>
      </w:r>
      <w:r w:rsidR="00A75202" w:rsidRPr="00AC10DD">
        <w:rPr>
          <w:szCs w:val="20"/>
          <w:lang w:val="en-US"/>
        </w:rPr>
        <w:t>-</w:t>
      </w:r>
      <w:r w:rsidR="00EE3D45" w:rsidRPr="00AC10DD">
        <w:rPr>
          <w:szCs w:val="20"/>
          <w:lang w:val="en-US"/>
        </w:rPr>
        <w:t>based batteries.</w:t>
      </w:r>
    </w:p>
    <w:p w14:paraId="467A836C" w14:textId="45912524" w:rsidR="005965F1" w:rsidRDefault="005965F1" w:rsidP="00AC10DD">
      <w:pPr>
        <w:rPr>
          <w:rFonts w:ascii="Times New Roman" w:hAnsi="Times New Roman" w:cs="Times New Roman"/>
          <w:b/>
          <w:sz w:val="20"/>
          <w:szCs w:val="20"/>
          <w:lang w:val="en-US"/>
        </w:rPr>
      </w:pPr>
      <w:r w:rsidRPr="005965F1">
        <w:rPr>
          <w:rFonts w:ascii="Times New Roman" w:hAnsi="Times New Roman" w:cs="Times New Roman"/>
          <w:b/>
          <w:sz w:val="20"/>
          <w:szCs w:val="20"/>
          <w:lang w:val="en-US"/>
        </w:rPr>
        <w:t>Ac</w:t>
      </w:r>
      <w:r>
        <w:rPr>
          <w:rFonts w:ascii="Times New Roman" w:hAnsi="Times New Roman" w:cs="Times New Roman"/>
          <w:b/>
          <w:sz w:val="20"/>
          <w:szCs w:val="20"/>
          <w:lang w:val="en-US"/>
        </w:rPr>
        <w:t>knowledgment</w:t>
      </w:r>
    </w:p>
    <w:p w14:paraId="5B32C3DF" w14:textId="0FA85620" w:rsidR="009E633E" w:rsidRPr="009E633E" w:rsidRDefault="00480F2C" w:rsidP="009E633E">
      <w:pPr>
        <w:jc w:val="both"/>
        <w:rPr>
          <w:rFonts w:ascii="Times New Roman" w:hAnsi="Times New Roman" w:cs="Times New Roman"/>
          <w:b/>
          <w:sz w:val="16"/>
          <w:szCs w:val="20"/>
          <w:lang w:val="en-US"/>
        </w:rPr>
      </w:pPr>
      <w:r w:rsidRPr="00480F2C">
        <w:rPr>
          <w:rFonts w:ascii="Times New Roman" w:eastAsia="MS Mincho" w:hAnsi="Times New Roman" w:cs="Times New Roman"/>
          <w:sz w:val="20"/>
          <w:szCs w:val="24"/>
          <w:lang w:val="en-US" w:eastAsia="ja-JP"/>
        </w:rPr>
        <w:t>The authors kindly acknowledge the financial support within the LILLINT project (13XP0225B) funded by the German Federal Ministry of Education and Research (BMBF).</w:t>
      </w:r>
    </w:p>
    <w:p w14:paraId="69912841" w14:textId="5569F013" w:rsidR="009E633E" w:rsidRPr="009E633E" w:rsidRDefault="009E633E" w:rsidP="009E633E">
      <w:pPr>
        <w:rPr>
          <w:rFonts w:ascii="Times New Roman" w:hAnsi="Times New Roman" w:cs="Times New Roman"/>
          <w:b/>
          <w:sz w:val="20"/>
          <w:szCs w:val="20"/>
          <w:lang w:val="en-US"/>
        </w:rPr>
      </w:pPr>
      <w:r>
        <w:rPr>
          <w:rFonts w:ascii="Times New Roman" w:hAnsi="Times New Roman" w:cs="Times New Roman"/>
          <w:b/>
          <w:sz w:val="20"/>
          <w:szCs w:val="20"/>
          <w:lang w:val="en-US"/>
        </w:rPr>
        <w:t>Appendix</w:t>
      </w:r>
    </w:p>
    <w:p w14:paraId="542522DB" w14:textId="5A963688" w:rsidR="009E633E" w:rsidRPr="00FC47EB" w:rsidRDefault="00FC47EB" w:rsidP="00FC47EB">
      <w:pPr>
        <w:jc w:val="both"/>
        <w:rPr>
          <w:rFonts w:ascii="Times New Roman" w:hAnsi="Times New Roman" w:cs="Times New Roman"/>
          <w:i/>
          <w:sz w:val="20"/>
          <w:szCs w:val="20"/>
          <w:lang w:val="en-US"/>
        </w:rPr>
      </w:pPr>
      <w:r>
        <w:rPr>
          <w:rFonts w:ascii="Times New Roman" w:hAnsi="Times New Roman" w:cs="Times New Roman"/>
          <w:i/>
          <w:sz w:val="20"/>
          <w:szCs w:val="20"/>
          <w:lang w:val="en-US"/>
        </w:rPr>
        <w:t>A.1</w:t>
      </w:r>
      <w:r w:rsidR="00654C31">
        <w:rPr>
          <w:rFonts w:ascii="Times New Roman" w:hAnsi="Times New Roman" w:cs="Times New Roman"/>
          <w:i/>
          <w:sz w:val="20"/>
          <w:szCs w:val="20"/>
          <w:lang w:val="en-US"/>
        </w:rPr>
        <w:t>.</w:t>
      </w:r>
      <w:r>
        <w:rPr>
          <w:rFonts w:ascii="Times New Roman" w:hAnsi="Times New Roman" w:cs="Times New Roman"/>
          <w:i/>
          <w:sz w:val="20"/>
          <w:szCs w:val="20"/>
          <w:lang w:val="en-US"/>
        </w:rPr>
        <w:t xml:space="preserve"> </w:t>
      </w:r>
      <w:r w:rsidR="009E633E" w:rsidRPr="00FC47EB">
        <w:rPr>
          <w:rFonts w:ascii="Times New Roman" w:hAnsi="Times New Roman" w:cs="Times New Roman"/>
          <w:i/>
          <w:sz w:val="20"/>
          <w:szCs w:val="20"/>
          <w:lang w:val="en-US"/>
        </w:rPr>
        <w:t xml:space="preserve">Exact </w:t>
      </w:r>
      <w:r w:rsidR="00A46D20">
        <w:rPr>
          <w:rFonts w:ascii="Times New Roman" w:hAnsi="Times New Roman" w:cs="Times New Roman"/>
          <w:i/>
          <w:sz w:val="20"/>
          <w:szCs w:val="20"/>
          <w:lang w:val="en-US"/>
        </w:rPr>
        <w:t>e</w:t>
      </w:r>
      <w:r w:rsidR="009E633E" w:rsidRPr="00FC47EB">
        <w:rPr>
          <w:rFonts w:ascii="Times New Roman" w:hAnsi="Times New Roman" w:cs="Times New Roman"/>
          <w:i/>
          <w:sz w:val="20"/>
          <w:szCs w:val="20"/>
          <w:lang w:val="en-US"/>
        </w:rPr>
        <w:t>lectrolyte formulations</w:t>
      </w:r>
    </w:p>
    <w:tbl>
      <w:tblPr>
        <w:tblW w:w="6642" w:type="dxa"/>
        <w:tblCellMar>
          <w:left w:w="70" w:type="dxa"/>
          <w:right w:w="70" w:type="dxa"/>
        </w:tblCellMar>
        <w:tblLook w:val="04A0" w:firstRow="1" w:lastRow="0" w:firstColumn="1" w:lastColumn="0" w:noHBand="0" w:noVBand="1"/>
      </w:tblPr>
      <w:tblGrid>
        <w:gridCol w:w="2400"/>
        <w:gridCol w:w="642"/>
        <w:gridCol w:w="1200"/>
        <w:gridCol w:w="1200"/>
        <w:gridCol w:w="1200"/>
      </w:tblGrid>
      <w:tr w:rsidR="009E633E" w:rsidRPr="00233D48" w14:paraId="1E3D43D5" w14:textId="77777777" w:rsidTr="009E633E">
        <w:trPr>
          <w:trHeight w:val="300"/>
        </w:trPr>
        <w:tc>
          <w:tcPr>
            <w:tcW w:w="3042" w:type="dxa"/>
            <w:gridSpan w:val="2"/>
            <w:tcBorders>
              <w:top w:val="nil"/>
              <w:left w:val="nil"/>
              <w:bottom w:val="nil"/>
              <w:right w:val="nil"/>
            </w:tcBorders>
            <w:shd w:val="clear" w:color="auto" w:fill="auto"/>
            <w:noWrap/>
            <w:vAlign w:val="bottom"/>
            <w:hideMark/>
          </w:tcPr>
          <w:p w14:paraId="2FB71535" w14:textId="15CA9E99" w:rsidR="009E633E" w:rsidRPr="00FC47EB" w:rsidRDefault="00FC47EB" w:rsidP="009E633E">
            <w:pPr>
              <w:spacing w:after="0" w:line="240" w:lineRule="auto"/>
              <w:rPr>
                <w:rFonts w:ascii="Times New Roman" w:eastAsia="Times New Roman" w:hAnsi="Times New Roman" w:cs="Times New Roman"/>
                <w:bCs/>
                <w:color w:val="000000"/>
                <w:sz w:val="16"/>
                <w:szCs w:val="20"/>
                <w:lang w:val="en-US" w:eastAsia="de-DE"/>
              </w:rPr>
            </w:pPr>
            <w:r w:rsidRPr="00FC47EB">
              <w:rPr>
                <w:rFonts w:ascii="Times New Roman" w:eastAsia="Times New Roman" w:hAnsi="Times New Roman" w:cs="Times New Roman"/>
                <w:bCs/>
                <w:color w:val="000000"/>
                <w:sz w:val="16"/>
                <w:szCs w:val="20"/>
                <w:lang w:val="en-US" w:eastAsia="de-DE"/>
              </w:rPr>
              <w:t xml:space="preserve">Table </w:t>
            </w:r>
            <w:r>
              <w:rPr>
                <w:rFonts w:ascii="Times New Roman" w:eastAsia="Times New Roman" w:hAnsi="Times New Roman" w:cs="Times New Roman"/>
                <w:bCs/>
                <w:color w:val="000000"/>
                <w:sz w:val="16"/>
                <w:szCs w:val="20"/>
                <w:lang w:val="en-US" w:eastAsia="de-DE"/>
              </w:rPr>
              <w:t>A.</w:t>
            </w:r>
            <w:r w:rsidRPr="00FC47EB">
              <w:rPr>
                <w:rFonts w:ascii="Times New Roman" w:eastAsia="Times New Roman" w:hAnsi="Times New Roman" w:cs="Times New Roman"/>
                <w:bCs/>
                <w:color w:val="000000"/>
                <w:sz w:val="16"/>
                <w:szCs w:val="20"/>
                <w:lang w:val="en-US" w:eastAsia="de-DE"/>
              </w:rPr>
              <w:t>1.</w:t>
            </w:r>
            <w:r w:rsidR="00654C31">
              <w:rPr>
                <w:rFonts w:ascii="Times New Roman" w:eastAsia="Times New Roman" w:hAnsi="Times New Roman" w:cs="Times New Roman"/>
                <w:bCs/>
                <w:color w:val="000000"/>
                <w:sz w:val="16"/>
                <w:szCs w:val="20"/>
                <w:lang w:val="en-US" w:eastAsia="de-DE"/>
              </w:rPr>
              <w:t>1.</w:t>
            </w:r>
            <w:r w:rsidRPr="00FC47EB">
              <w:rPr>
                <w:rFonts w:ascii="Times New Roman" w:eastAsia="Times New Roman" w:hAnsi="Times New Roman" w:cs="Times New Roman"/>
                <w:bCs/>
                <w:color w:val="000000"/>
                <w:sz w:val="16"/>
                <w:szCs w:val="20"/>
                <w:lang w:val="en-US" w:eastAsia="de-DE"/>
              </w:rPr>
              <w:t xml:space="preserve"> </w:t>
            </w:r>
            <w:r w:rsidR="009E633E" w:rsidRPr="00FC47EB">
              <w:rPr>
                <w:rFonts w:ascii="Times New Roman" w:eastAsia="Times New Roman" w:hAnsi="Times New Roman" w:cs="Times New Roman"/>
                <w:bCs/>
                <w:color w:val="000000"/>
                <w:sz w:val="16"/>
                <w:szCs w:val="20"/>
                <w:lang w:val="en-US" w:eastAsia="de-DE"/>
              </w:rPr>
              <w:t xml:space="preserve">Baseline </w:t>
            </w:r>
            <w:r w:rsidR="00A46D20">
              <w:rPr>
                <w:rFonts w:ascii="Times New Roman" w:eastAsia="Times New Roman" w:hAnsi="Times New Roman" w:cs="Times New Roman"/>
                <w:bCs/>
                <w:color w:val="000000"/>
                <w:sz w:val="16"/>
                <w:szCs w:val="20"/>
                <w:lang w:val="en-US" w:eastAsia="de-DE"/>
              </w:rPr>
              <w:t>e</w:t>
            </w:r>
            <w:r w:rsidR="009E633E" w:rsidRPr="00FC47EB">
              <w:rPr>
                <w:rFonts w:ascii="Times New Roman" w:eastAsia="Times New Roman" w:hAnsi="Times New Roman" w:cs="Times New Roman"/>
                <w:bCs/>
                <w:color w:val="000000"/>
                <w:sz w:val="16"/>
                <w:szCs w:val="20"/>
                <w:lang w:val="en-US" w:eastAsia="de-DE"/>
              </w:rPr>
              <w:t>lectrolyte (BE)</w:t>
            </w:r>
          </w:p>
        </w:tc>
        <w:tc>
          <w:tcPr>
            <w:tcW w:w="1200" w:type="dxa"/>
            <w:tcBorders>
              <w:top w:val="nil"/>
              <w:left w:val="nil"/>
              <w:bottom w:val="nil"/>
              <w:right w:val="nil"/>
            </w:tcBorders>
            <w:shd w:val="clear" w:color="auto" w:fill="auto"/>
            <w:noWrap/>
            <w:vAlign w:val="bottom"/>
            <w:hideMark/>
          </w:tcPr>
          <w:p w14:paraId="1DB57071" w14:textId="77777777" w:rsidR="009E633E" w:rsidRPr="00FC47EB" w:rsidRDefault="009E633E" w:rsidP="009E633E">
            <w:pPr>
              <w:spacing w:after="0" w:line="240" w:lineRule="auto"/>
              <w:rPr>
                <w:rFonts w:ascii="Times New Roman" w:eastAsia="Times New Roman" w:hAnsi="Times New Roman" w:cs="Times New Roman"/>
                <w:bCs/>
                <w:color w:val="000000"/>
                <w:sz w:val="16"/>
                <w:szCs w:val="20"/>
                <w:lang w:val="en-US" w:eastAsia="de-DE"/>
              </w:rPr>
            </w:pPr>
          </w:p>
        </w:tc>
        <w:tc>
          <w:tcPr>
            <w:tcW w:w="1200" w:type="dxa"/>
            <w:tcBorders>
              <w:top w:val="nil"/>
              <w:left w:val="nil"/>
              <w:bottom w:val="nil"/>
              <w:right w:val="nil"/>
            </w:tcBorders>
            <w:shd w:val="clear" w:color="auto" w:fill="auto"/>
            <w:noWrap/>
            <w:vAlign w:val="bottom"/>
            <w:hideMark/>
          </w:tcPr>
          <w:p w14:paraId="54A75EE4" w14:textId="77777777" w:rsidR="009E633E" w:rsidRPr="00FC47EB" w:rsidRDefault="009E633E" w:rsidP="009E633E">
            <w:pPr>
              <w:spacing w:after="0" w:line="240" w:lineRule="auto"/>
              <w:rPr>
                <w:rFonts w:ascii="Times New Roman" w:eastAsia="Times New Roman" w:hAnsi="Times New Roman" w:cs="Times New Roman"/>
                <w:sz w:val="16"/>
                <w:szCs w:val="20"/>
                <w:lang w:val="en-US" w:eastAsia="de-DE"/>
              </w:rPr>
            </w:pPr>
          </w:p>
        </w:tc>
        <w:tc>
          <w:tcPr>
            <w:tcW w:w="1200" w:type="dxa"/>
            <w:tcBorders>
              <w:top w:val="nil"/>
              <w:left w:val="nil"/>
              <w:bottom w:val="nil"/>
              <w:right w:val="nil"/>
            </w:tcBorders>
            <w:shd w:val="clear" w:color="auto" w:fill="auto"/>
            <w:noWrap/>
            <w:vAlign w:val="bottom"/>
            <w:hideMark/>
          </w:tcPr>
          <w:p w14:paraId="33F02161" w14:textId="77777777" w:rsidR="009E633E" w:rsidRPr="00FC47EB" w:rsidRDefault="009E633E" w:rsidP="009E633E">
            <w:pPr>
              <w:spacing w:after="0" w:line="240" w:lineRule="auto"/>
              <w:rPr>
                <w:rFonts w:ascii="Times New Roman" w:eastAsia="Times New Roman" w:hAnsi="Times New Roman" w:cs="Times New Roman"/>
                <w:sz w:val="16"/>
                <w:szCs w:val="20"/>
                <w:lang w:val="en-US" w:eastAsia="de-DE"/>
              </w:rPr>
            </w:pPr>
          </w:p>
        </w:tc>
      </w:tr>
      <w:tr w:rsidR="009E633E" w:rsidRPr="00654C31" w14:paraId="16B6AFF9"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2F6001B2"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46D20">
              <w:rPr>
                <w:rFonts w:ascii="Times New Roman" w:eastAsia="Times New Roman" w:hAnsi="Times New Roman" w:cs="Times New Roman"/>
                <w:b/>
                <w:color w:val="000000"/>
                <w:sz w:val="20"/>
                <w:szCs w:val="20"/>
                <w:lang w:val="en-US"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112DCFCD"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46D20">
              <w:rPr>
                <w:rFonts w:ascii="Times New Roman" w:eastAsia="Times New Roman" w:hAnsi="Times New Roman" w:cs="Times New Roman"/>
                <w:b/>
                <w:color w:val="000000"/>
                <w:sz w:val="20"/>
                <w:szCs w:val="20"/>
                <w:lang w:val="en-US" w:eastAsia="de-DE"/>
              </w:rPr>
              <w:t>wt%</w:t>
            </w:r>
          </w:p>
        </w:tc>
        <w:tc>
          <w:tcPr>
            <w:tcW w:w="1200" w:type="dxa"/>
            <w:tcBorders>
              <w:top w:val="nil"/>
              <w:left w:val="nil"/>
              <w:bottom w:val="single" w:sz="4" w:space="0" w:color="auto"/>
              <w:right w:val="single" w:sz="4" w:space="0" w:color="auto"/>
            </w:tcBorders>
            <w:shd w:val="clear" w:color="auto" w:fill="auto"/>
            <w:noWrap/>
            <w:vAlign w:val="bottom"/>
            <w:hideMark/>
          </w:tcPr>
          <w:p w14:paraId="25899F8D" w14:textId="13591802" w:rsidR="009E633E" w:rsidRPr="00A46D20" w:rsidRDefault="00FC47EB" w:rsidP="00FC47EB">
            <w:pPr>
              <w:spacing w:after="0" w:line="240" w:lineRule="auto"/>
              <w:rPr>
                <w:rFonts w:ascii="Times New Roman" w:eastAsia="Times New Roman" w:hAnsi="Times New Roman" w:cs="Times New Roman"/>
                <w:b/>
                <w:color w:val="000000"/>
                <w:sz w:val="20"/>
                <w:szCs w:val="20"/>
                <w:lang w:val="en-US" w:eastAsia="de-DE"/>
              </w:rPr>
            </w:pPr>
            <w:r w:rsidRPr="00A46D20">
              <w:rPr>
                <w:rFonts w:ascii="Times New Roman" w:eastAsia="Times New Roman" w:hAnsi="Times New Roman" w:cs="Times New Roman"/>
                <w:b/>
                <w:color w:val="000000"/>
                <w:sz w:val="20"/>
                <w:szCs w:val="20"/>
                <w:lang w:val="en-US" w:eastAsia="de-DE"/>
              </w:rPr>
              <w:t>m [g]</w:t>
            </w:r>
          </w:p>
        </w:tc>
        <w:tc>
          <w:tcPr>
            <w:tcW w:w="1200" w:type="dxa"/>
            <w:tcBorders>
              <w:top w:val="nil"/>
              <w:left w:val="nil"/>
              <w:bottom w:val="single" w:sz="4" w:space="0" w:color="auto"/>
              <w:right w:val="single" w:sz="4" w:space="0" w:color="auto"/>
            </w:tcBorders>
            <w:shd w:val="clear" w:color="auto" w:fill="auto"/>
            <w:noWrap/>
            <w:vAlign w:val="bottom"/>
            <w:hideMark/>
          </w:tcPr>
          <w:p w14:paraId="2BBAA0EB"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46D20">
              <w:rPr>
                <w:rFonts w:ascii="Times New Roman" w:eastAsia="Times New Roman" w:hAnsi="Times New Roman" w:cs="Times New Roman"/>
                <w:b/>
                <w:color w:val="000000"/>
                <w:sz w:val="20"/>
                <w:szCs w:val="20"/>
                <w:lang w:val="en-US" w:eastAsia="de-DE"/>
              </w:rPr>
              <w:t>n [mol]</w:t>
            </w:r>
          </w:p>
        </w:tc>
        <w:tc>
          <w:tcPr>
            <w:tcW w:w="1200" w:type="dxa"/>
            <w:tcBorders>
              <w:top w:val="nil"/>
              <w:left w:val="nil"/>
              <w:bottom w:val="single" w:sz="4" w:space="0" w:color="auto"/>
              <w:right w:val="nil"/>
            </w:tcBorders>
            <w:shd w:val="clear" w:color="auto" w:fill="auto"/>
            <w:noWrap/>
            <w:vAlign w:val="bottom"/>
            <w:hideMark/>
          </w:tcPr>
          <w:p w14:paraId="31BC0FCB"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46D20">
              <w:rPr>
                <w:rFonts w:ascii="Times New Roman" w:eastAsia="Times New Roman" w:hAnsi="Times New Roman" w:cs="Times New Roman"/>
                <w:b/>
                <w:color w:val="000000"/>
                <w:sz w:val="20"/>
                <w:szCs w:val="20"/>
                <w:lang w:val="en-US" w:eastAsia="de-DE"/>
              </w:rPr>
              <w:t>mol%</w:t>
            </w:r>
          </w:p>
        </w:tc>
      </w:tr>
      <w:tr w:rsidR="009E633E" w:rsidRPr="00654C31" w14:paraId="03D93D8A"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79899309" w14:textId="77777777" w:rsidR="009E633E" w:rsidRPr="00FC47EB" w:rsidRDefault="009E633E" w:rsidP="009E633E">
            <w:pPr>
              <w:spacing w:after="0" w:line="240" w:lineRule="auto"/>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LiPF</w:t>
            </w:r>
            <w:r w:rsidRPr="00FC47EB">
              <w:rPr>
                <w:rFonts w:ascii="Times New Roman" w:eastAsia="Times New Roman" w:hAnsi="Times New Roman" w:cs="Times New Roman"/>
                <w:color w:val="000000"/>
                <w:sz w:val="20"/>
                <w:szCs w:val="20"/>
                <w:vertAlign w:val="subscript"/>
                <w:lang w:val="en-US" w:eastAsia="de-DE"/>
              </w:rPr>
              <w:t>6</w:t>
            </w:r>
          </w:p>
        </w:tc>
        <w:tc>
          <w:tcPr>
            <w:tcW w:w="642" w:type="dxa"/>
            <w:tcBorders>
              <w:top w:val="nil"/>
              <w:left w:val="nil"/>
              <w:bottom w:val="single" w:sz="4" w:space="0" w:color="auto"/>
              <w:right w:val="single" w:sz="4" w:space="0" w:color="auto"/>
            </w:tcBorders>
            <w:shd w:val="clear" w:color="auto" w:fill="auto"/>
            <w:noWrap/>
            <w:vAlign w:val="bottom"/>
            <w:hideMark/>
          </w:tcPr>
          <w:p w14:paraId="2DDAA739"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15.10</w:t>
            </w:r>
          </w:p>
        </w:tc>
        <w:tc>
          <w:tcPr>
            <w:tcW w:w="1200" w:type="dxa"/>
            <w:tcBorders>
              <w:top w:val="nil"/>
              <w:left w:val="nil"/>
              <w:bottom w:val="single" w:sz="4" w:space="0" w:color="auto"/>
              <w:right w:val="single" w:sz="4" w:space="0" w:color="auto"/>
            </w:tcBorders>
            <w:shd w:val="clear" w:color="auto" w:fill="auto"/>
            <w:noWrap/>
            <w:vAlign w:val="bottom"/>
            <w:hideMark/>
          </w:tcPr>
          <w:p w14:paraId="384DFF5D"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151.00</w:t>
            </w:r>
          </w:p>
        </w:tc>
        <w:tc>
          <w:tcPr>
            <w:tcW w:w="1200" w:type="dxa"/>
            <w:tcBorders>
              <w:top w:val="nil"/>
              <w:left w:val="nil"/>
              <w:bottom w:val="single" w:sz="4" w:space="0" w:color="auto"/>
              <w:right w:val="single" w:sz="4" w:space="0" w:color="auto"/>
            </w:tcBorders>
            <w:shd w:val="clear" w:color="auto" w:fill="auto"/>
            <w:noWrap/>
            <w:vAlign w:val="bottom"/>
            <w:hideMark/>
          </w:tcPr>
          <w:p w14:paraId="234A5B78"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0.99</w:t>
            </w:r>
          </w:p>
        </w:tc>
        <w:tc>
          <w:tcPr>
            <w:tcW w:w="1200" w:type="dxa"/>
            <w:tcBorders>
              <w:top w:val="nil"/>
              <w:left w:val="nil"/>
              <w:bottom w:val="single" w:sz="4" w:space="0" w:color="auto"/>
              <w:right w:val="nil"/>
            </w:tcBorders>
            <w:shd w:val="clear" w:color="auto" w:fill="auto"/>
            <w:noWrap/>
            <w:vAlign w:val="bottom"/>
            <w:hideMark/>
          </w:tcPr>
          <w:p w14:paraId="76A3C569"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10.36</w:t>
            </w:r>
          </w:p>
        </w:tc>
      </w:tr>
      <w:tr w:rsidR="009E633E" w:rsidRPr="00654C31" w14:paraId="4406856C"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401A9C4B" w14:textId="77777777" w:rsidR="009E633E" w:rsidRPr="00FC47EB" w:rsidRDefault="009E633E" w:rsidP="009E633E">
            <w:pPr>
              <w:spacing w:after="0" w:line="240" w:lineRule="auto"/>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EC</w:t>
            </w:r>
          </w:p>
        </w:tc>
        <w:tc>
          <w:tcPr>
            <w:tcW w:w="642" w:type="dxa"/>
            <w:tcBorders>
              <w:top w:val="nil"/>
              <w:left w:val="nil"/>
              <w:bottom w:val="single" w:sz="4" w:space="0" w:color="auto"/>
              <w:right w:val="single" w:sz="4" w:space="0" w:color="auto"/>
            </w:tcBorders>
            <w:shd w:val="clear" w:color="auto" w:fill="auto"/>
            <w:noWrap/>
            <w:vAlign w:val="bottom"/>
            <w:hideMark/>
          </w:tcPr>
          <w:p w14:paraId="57EAB5D2"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25.50</w:t>
            </w:r>
          </w:p>
        </w:tc>
        <w:tc>
          <w:tcPr>
            <w:tcW w:w="1200" w:type="dxa"/>
            <w:tcBorders>
              <w:top w:val="nil"/>
              <w:left w:val="nil"/>
              <w:bottom w:val="single" w:sz="4" w:space="0" w:color="auto"/>
              <w:right w:val="single" w:sz="4" w:space="0" w:color="auto"/>
            </w:tcBorders>
            <w:shd w:val="clear" w:color="auto" w:fill="auto"/>
            <w:noWrap/>
            <w:vAlign w:val="bottom"/>
            <w:hideMark/>
          </w:tcPr>
          <w:p w14:paraId="624E2B8E"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255.00</w:t>
            </w:r>
          </w:p>
        </w:tc>
        <w:tc>
          <w:tcPr>
            <w:tcW w:w="1200" w:type="dxa"/>
            <w:tcBorders>
              <w:top w:val="nil"/>
              <w:left w:val="nil"/>
              <w:bottom w:val="single" w:sz="4" w:space="0" w:color="auto"/>
              <w:right w:val="single" w:sz="4" w:space="0" w:color="auto"/>
            </w:tcBorders>
            <w:shd w:val="clear" w:color="auto" w:fill="auto"/>
            <w:noWrap/>
            <w:vAlign w:val="bottom"/>
            <w:hideMark/>
          </w:tcPr>
          <w:p w14:paraId="6BE9C07F"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2.90</w:t>
            </w:r>
          </w:p>
        </w:tc>
        <w:tc>
          <w:tcPr>
            <w:tcW w:w="1200" w:type="dxa"/>
            <w:tcBorders>
              <w:top w:val="nil"/>
              <w:left w:val="nil"/>
              <w:bottom w:val="single" w:sz="4" w:space="0" w:color="auto"/>
              <w:right w:val="nil"/>
            </w:tcBorders>
            <w:shd w:val="clear" w:color="auto" w:fill="auto"/>
            <w:noWrap/>
            <w:vAlign w:val="bottom"/>
            <w:hideMark/>
          </w:tcPr>
          <w:p w14:paraId="018AC725"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30.18</w:t>
            </w:r>
          </w:p>
        </w:tc>
      </w:tr>
      <w:tr w:rsidR="009E633E" w:rsidRPr="00654C31" w14:paraId="28E01E63" w14:textId="77777777" w:rsidTr="009E633E">
        <w:trPr>
          <w:trHeight w:val="300"/>
        </w:trPr>
        <w:tc>
          <w:tcPr>
            <w:tcW w:w="2400" w:type="dxa"/>
            <w:tcBorders>
              <w:top w:val="nil"/>
              <w:left w:val="nil"/>
              <w:bottom w:val="nil"/>
              <w:right w:val="single" w:sz="4" w:space="0" w:color="auto"/>
            </w:tcBorders>
            <w:shd w:val="clear" w:color="auto" w:fill="auto"/>
            <w:noWrap/>
            <w:vAlign w:val="bottom"/>
            <w:hideMark/>
          </w:tcPr>
          <w:p w14:paraId="493955CE" w14:textId="77777777" w:rsidR="009E633E" w:rsidRPr="00FC47EB" w:rsidRDefault="009E633E" w:rsidP="009E633E">
            <w:pPr>
              <w:spacing w:after="0" w:line="240" w:lineRule="auto"/>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EMC</w:t>
            </w:r>
          </w:p>
        </w:tc>
        <w:tc>
          <w:tcPr>
            <w:tcW w:w="642" w:type="dxa"/>
            <w:tcBorders>
              <w:top w:val="nil"/>
              <w:left w:val="nil"/>
              <w:bottom w:val="nil"/>
              <w:right w:val="single" w:sz="4" w:space="0" w:color="auto"/>
            </w:tcBorders>
            <w:shd w:val="clear" w:color="auto" w:fill="auto"/>
            <w:noWrap/>
            <w:vAlign w:val="bottom"/>
            <w:hideMark/>
          </w:tcPr>
          <w:p w14:paraId="379D8F69"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59.40</w:t>
            </w:r>
          </w:p>
        </w:tc>
        <w:tc>
          <w:tcPr>
            <w:tcW w:w="1200" w:type="dxa"/>
            <w:tcBorders>
              <w:top w:val="nil"/>
              <w:left w:val="nil"/>
              <w:bottom w:val="nil"/>
              <w:right w:val="single" w:sz="4" w:space="0" w:color="auto"/>
            </w:tcBorders>
            <w:shd w:val="clear" w:color="auto" w:fill="auto"/>
            <w:noWrap/>
            <w:vAlign w:val="bottom"/>
            <w:hideMark/>
          </w:tcPr>
          <w:p w14:paraId="3293853D"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594.00</w:t>
            </w:r>
          </w:p>
        </w:tc>
        <w:tc>
          <w:tcPr>
            <w:tcW w:w="1200" w:type="dxa"/>
            <w:tcBorders>
              <w:top w:val="nil"/>
              <w:left w:val="nil"/>
              <w:bottom w:val="nil"/>
              <w:right w:val="single" w:sz="4" w:space="0" w:color="auto"/>
            </w:tcBorders>
            <w:shd w:val="clear" w:color="auto" w:fill="auto"/>
            <w:noWrap/>
            <w:vAlign w:val="bottom"/>
            <w:hideMark/>
          </w:tcPr>
          <w:p w14:paraId="606B43AF"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5.71</w:t>
            </w:r>
          </w:p>
        </w:tc>
        <w:tc>
          <w:tcPr>
            <w:tcW w:w="1200" w:type="dxa"/>
            <w:tcBorders>
              <w:top w:val="nil"/>
              <w:left w:val="nil"/>
              <w:bottom w:val="nil"/>
              <w:right w:val="nil"/>
            </w:tcBorders>
            <w:shd w:val="clear" w:color="auto" w:fill="auto"/>
            <w:noWrap/>
            <w:vAlign w:val="bottom"/>
            <w:hideMark/>
          </w:tcPr>
          <w:p w14:paraId="0E107834"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59.46</w:t>
            </w:r>
          </w:p>
        </w:tc>
      </w:tr>
      <w:tr w:rsidR="009E633E" w:rsidRPr="00654C31" w14:paraId="22AD31B7" w14:textId="77777777" w:rsidTr="009E633E">
        <w:trPr>
          <w:trHeight w:val="300"/>
        </w:trPr>
        <w:tc>
          <w:tcPr>
            <w:tcW w:w="2400" w:type="dxa"/>
            <w:tcBorders>
              <w:top w:val="nil"/>
              <w:left w:val="nil"/>
              <w:bottom w:val="nil"/>
              <w:right w:val="nil"/>
            </w:tcBorders>
            <w:shd w:val="clear" w:color="auto" w:fill="auto"/>
            <w:noWrap/>
            <w:vAlign w:val="bottom"/>
            <w:hideMark/>
          </w:tcPr>
          <w:p w14:paraId="38FA77FC"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p>
        </w:tc>
        <w:tc>
          <w:tcPr>
            <w:tcW w:w="642" w:type="dxa"/>
            <w:tcBorders>
              <w:top w:val="nil"/>
              <w:left w:val="nil"/>
              <w:bottom w:val="nil"/>
              <w:right w:val="nil"/>
            </w:tcBorders>
            <w:shd w:val="clear" w:color="auto" w:fill="auto"/>
            <w:noWrap/>
            <w:vAlign w:val="bottom"/>
            <w:hideMark/>
          </w:tcPr>
          <w:p w14:paraId="7BD9C4FA" w14:textId="77777777" w:rsidR="009E633E" w:rsidRPr="00FC47EB" w:rsidRDefault="009E633E" w:rsidP="009E633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6C66A121" w14:textId="77777777" w:rsidR="009E633E" w:rsidRPr="00FC47EB" w:rsidRDefault="009E633E" w:rsidP="009E633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38406800" w14:textId="77777777" w:rsidR="009E633E" w:rsidRPr="00FC47EB" w:rsidRDefault="009E633E" w:rsidP="009E633E">
            <w:pPr>
              <w:spacing w:after="0" w:line="240" w:lineRule="auto"/>
              <w:rPr>
                <w:rFonts w:ascii="Times New Roman" w:eastAsia="Times New Roman" w:hAnsi="Times New Roman" w:cs="Times New Roman"/>
                <w:sz w:val="20"/>
                <w:szCs w:val="20"/>
                <w:lang w:val="en-US" w:eastAsia="de-DE"/>
              </w:rPr>
            </w:pPr>
          </w:p>
        </w:tc>
        <w:tc>
          <w:tcPr>
            <w:tcW w:w="1200" w:type="dxa"/>
            <w:tcBorders>
              <w:top w:val="nil"/>
              <w:left w:val="nil"/>
              <w:bottom w:val="nil"/>
              <w:right w:val="nil"/>
            </w:tcBorders>
            <w:shd w:val="clear" w:color="auto" w:fill="auto"/>
            <w:noWrap/>
            <w:vAlign w:val="bottom"/>
            <w:hideMark/>
          </w:tcPr>
          <w:p w14:paraId="19E288F7" w14:textId="77777777" w:rsidR="009E633E" w:rsidRPr="00FC47EB" w:rsidRDefault="009E633E" w:rsidP="009E633E">
            <w:pPr>
              <w:spacing w:after="0" w:line="240" w:lineRule="auto"/>
              <w:rPr>
                <w:rFonts w:ascii="Times New Roman" w:eastAsia="Times New Roman" w:hAnsi="Times New Roman" w:cs="Times New Roman"/>
                <w:sz w:val="20"/>
                <w:szCs w:val="20"/>
                <w:lang w:val="en-US" w:eastAsia="de-DE"/>
              </w:rPr>
            </w:pPr>
          </w:p>
        </w:tc>
      </w:tr>
      <w:tr w:rsidR="009E633E" w:rsidRPr="00233D48" w14:paraId="1747597C" w14:textId="77777777" w:rsidTr="009E633E">
        <w:trPr>
          <w:trHeight w:val="300"/>
        </w:trPr>
        <w:tc>
          <w:tcPr>
            <w:tcW w:w="6642" w:type="dxa"/>
            <w:gridSpan w:val="5"/>
            <w:tcBorders>
              <w:top w:val="nil"/>
              <w:left w:val="nil"/>
              <w:bottom w:val="nil"/>
              <w:right w:val="nil"/>
            </w:tcBorders>
            <w:shd w:val="clear" w:color="auto" w:fill="auto"/>
            <w:noWrap/>
            <w:vAlign w:val="bottom"/>
            <w:hideMark/>
          </w:tcPr>
          <w:p w14:paraId="695905FB" w14:textId="2B973737" w:rsidR="009E633E" w:rsidRPr="00FC47EB" w:rsidRDefault="00FC47EB" w:rsidP="009E633E">
            <w:pPr>
              <w:spacing w:after="0" w:line="240" w:lineRule="auto"/>
              <w:rPr>
                <w:rFonts w:ascii="Times New Roman" w:eastAsia="Times New Roman" w:hAnsi="Times New Roman" w:cs="Times New Roman"/>
                <w:sz w:val="16"/>
                <w:szCs w:val="20"/>
                <w:lang w:val="en-US" w:eastAsia="de-DE"/>
              </w:rPr>
            </w:pPr>
            <w:r w:rsidRPr="00FC47EB">
              <w:rPr>
                <w:rFonts w:ascii="Times New Roman" w:eastAsia="Times New Roman" w:hAnsi="Times New Roman" w:cs="Times New Roman"/>
                <w:bCs/>
                <w:color w:val="000000"/>
                <w:sz w:val="16"/>
                <w:szCs w:val="20"/>
                <w:lang w:val="en-US" w:eastAsia="de-DE"/>
              </w:rPr>
              <w:t xml:space="preserve">Table </w:t>
            </w:r>
            <w:r>
              <w:rPr>
                <w:rFonts w:ascii="Times New Roman" w:eastAsia="Times New Roman" w:hAnsi="Times New Roman" w:cs="Times New Roman"/>
                <w:bCs/>
                <w:color w:val="000000"/>
                <w:sz w:val="16"/>
                <w:szCs w:val="20"/>
                <w:lang w:val="en-US" w:eastAsia="de-DE"/>
              </w:rPr>
              <w:t>A.</w:t>
            </w:r>
            <w:r w:rsidR="00654C31">
              <w:rPr>
                <w:rFonts w:ascii="Times New Roman" w:eastAsia="Times New Roman" w:hAnsi="Times New Roman" w:cs="Times New Roman"/>
                <w:bCs/>
                <w:color w:val="000000"/>
                <w:sz w:val="16"/>
                <w:szCs w:val="20"/>
                <w:lang w:val="en-US" w:eastAsia="de-DE"/>
              </w:rPr>
              <w:t>1.</w:t>
            </w:r>
            <w:r w:rsidRPr="00FC47EB">
              <w:rPr>
                <w:rFonts w:ascii="Times New Roman" w:eastAsia="Times New Roman" w:hAnsi="Times New Roman" w:cs="Times New Roman"/>
                <w:bCs/>
                <w:color w:val="000000"/>
                <w:sz w:val="16"/>
                <w:szCs w:val="20"/>
                <w:lang w:val="en-US" w:eastAsia="de-DE"/>
              </w:rPr>
              <w:t xml:space="preserve">2. </w:t>
            </w:r>
            <w:r w:rsidR="009E633E" w:rsidRPr="00FC47EB">
              <w:rPr>
                <w:rFonts w:ascii="Times New Roman" w:eastAsia="Times New Roman" w:hAnsi="Times New Roman" w:cs="Times New Roman"/>
                <w:bCs/>
                <w:color w:val="000000"/>
                <w:sz w:val="16"/>
                <w:szCs w:val="20"/>
                <w:lang w:val="en-US" w:eastAsia="de-DE"/>
              </w:rPr>
              <w:t>Electrolyte containing vinylene carbonate additive (AE-VC)</w:t>
            </w:r>
          </w:p>
        </w:tc>
      </w:tr>
      <w:tr w:rsidR="009E633E" w:rsidRPr="009E633E" w14:paraId="03953EB7"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2740A1B8" w14:textId="77777777" w:rsidR="009E633E" w:rsidRPr="009E633E" w:rsidRDefault="009E633E" w:rsidP="009E633E">
            <w:pPr>
              <w:spacing w:after="0" w:line="240" w:lineRule="auto"/>
              <w:rPr>
                <w:rFonts w:ascii="Times New Roman" w:eastAsia="Times New Roman" w:hAnsi="Times New Roman" w:cs="Times New Roman"/>
                <w:color w:val="000000"/>
                <w:sz w:val="20"/>
                <w:szCs w:val="20"/>
                <w:lang w:val="en-US" w:eastAsia="de-DE"/>
              </w:rPr>
            </w:pPr>
            <w:r w:rsidRPr="009E633E">
              <w:rPr>
                <w:rFonts w:ascii="Times New Roman" w:eastAsia="Times New Roman" w:hAnsi="Times New Roman" w:cs="Times New Roman"/>
                <w:color w:val="000000"/>
                <w:sz w:val="20"/>
                <w:szCs w:val="20"/>
                <w:lang w:val="en-US"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7588E81B"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eastAsia="de-DE"/>
              </w:rPr>
            </w:pPr>
            <w:r w:rsidRPr="00A46D20">
              <w:rPr>
                <w:rFonts w:ascii="Times New Roman" w:eastAsia="Times New Roman" w:hAnsi="Times New Roman" w:cs="Times New Roman"/>
                <w:b/>
                <w:color w:val="000000"/>
                <w:sz w:val="20"/>
                <w:szCs w:val="20"/>
                <w:lang w:eastAsia="de-DE"/>
              </w:rPr>
              <w:t>wt%</w:t>
            </w:r>
          </w:p>
        </w:tc>
        <w:tc>
          <w:tcPr>
            <w:tcW w:w="1200" w:type="dxa"/>
            <w:tcBorders>
              <w:top w:val="nil"/>
              <w:left w:val="nil"/>
              <w:bottom w:val="single" w:sz="4" w:space="0" w:color="auto"/>
              <w:right w:val="single" w:sz="4" w:space="0" w:color="auto"/>
            </w:tcBorders>
            <w:shd w:val="clear" w:color="auto" w:fill="auto"/>
            <w:noWrap/>
            <w:vAlign w:val="bottom"/>
            <w:hideMark/>
          </w:tcPr>
          <w:p w14:paraId="203D52F7" w14:textId="0A22B286" w:rsidR="009E633E" w:rsidRPr="00A46D20" w:rsidRDefault="00FC47EB" w:rsidP="00FC47EB">
            <w:pPr>
              <w:spacing w:after="0" w:line="240" w:lineRule="auto"/>
              <w:rPr>
                <w:rFonts w:ascii="Times New Roman" w:eastAsia="Times New Roman" w:hAnsi="Times New Roman" w:cs="Times New Roman"/>
                <w:b/>
                <w:color w:val="000000"/>
                <w:sz w:val="20"/>
                <w:szCs w:val="20"/>
                <w:lang w:eastAsia="de-DE"/>
              </w:rPr>
            </w:pPr>
            <w:r w:rsidRPr="00A46D20">
              <w:rPr>
                <w:rFonts w:ascii="Times New Roman" w:eastAsia="Times New Roman" w:hAnsi="Times New Roman" w:cs="Times New Roman"/>
                <w:b/>
                <w:color w:val="000000"/>
                <w:sz w:val="20"/>
                <w:szCs w:val="20"/>
                <w:lang w:eastAsia="de-DE"/>
              </w:rPr>
              <w:t>m [g]</w:t>
            </w:r>
          </w:p>
        </w:tc>
        <w:tc>
          <w:tcPr>
            <w:tcW w:w="1200" w:type="dxa"/>
            <w:tcBorders>
              <w:top w:val="nil"/>
              <w:left w:val="nil"/>
              <w:bottom w:val="single" w:sz="4" w:space="0" w:color="auto"/>
              <w:right w:val="single" w:sz="4" w:space="0" w:color="auto"/>
            </w:tcBorders>
            <w:shd w:val="clear" w:color="auto" w:fill="auto"/>
            <w:noWrap/>
            <w:vAlign w:val="bottom"/>
            <w:hideMark/>
          </w:tcPr>
          <w:p w14:paraId="6BA48AA5"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eastAsia="de-DE"/>
              </w:rPr>
            </w:pPr>
            <w:r w:rsidRPr="00A46D20">
              <w:rPr>
                <w:rFonts w:ascii="Times New Roman" w:eastAsia="Times New Roman" w:hAnsi="Times New Roman" w:cs="Times New Roman"/>
                <w:b/>
                <w:color w:val="000000"/>
                <w:sz w:val="20"/>
                <w:szCs w:val="20"/>
                <w:lang w:eastAsia="de-DE"/>
              </w:rPr>
              <w:t>n [</w:t>
            </w:r>
            <w:proofErr w:type="spellStart"/>
            <w:r w:rsidRPr="00A46D20">
              <w:rPr>
                <w:rFonts w:ascii="Times New Roman" w:eastAsia="Times New Roman" w:hAnsi="Times New Roman" w:cs="Times New Roman"/>
                <w:b/>
                <w:color w:val="000000"/>
                <w:sz w:val="20"/>
                <w:szCs w:val="20"/>
                <w:lang w:eastAsia="de-DE"/>
              </w:rPr>
              <w:t>mol</w:t>
            </w:r>
            <w:proofErr w:type="spellEnd"/>
            <w:r w:rsidRPr="00A46D20">
              <w:rPr>
                <w:rFonts w:ascii="Times New Roman" w:eastAsia="Times New Roman" w:hAnsi="Times New Roman" w:cs="Times New Roman"/>
                <w:b/>
                <w:color w:val="000000"/>
                <w:sz w:val="20"/>
                <w:szCs w:val="20"/>
                <w:lang w:eastAsia="de-DE"/>
              </w:rPr>
              <w:t>]</w:t>
            </w:r>
          </w:p>
        </w:tc>
        <w:tc>
          <w:tcPr>
            <w:tcW w:w="1200" w:type="dxa"/>
            <w:tcBorders>
              <w:top w:val="nil"/>
              <w:left w:val="nil"/>
              <w:bottom w:val="single" w:sz="4" w:space="0" w:color="auto"/>
              <w:right w:val="nil"/>
            </w:tcBorders>
            <w:shd w:val="clear" w:color="auto" w:fill="auto"/>
            <w:noWrap/>
            <w:vAlign w:val="bottom"/>
            <w:hideMark/>
          </w:tcPr>
          <w:p w14:paraId="2267CFA2"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eastAsia="de-DE"/>
              </w:rPr>
            </w:pPr>
            <w:proofErr w:type="spellStart"/>
            <w:r w:rsidRPr="00A46D20">
              <w:rPr>
                <w:rFonts w:ascii="Times New Roman" w:eastAsia="Times New Roman" w:hAnsi="Times New Roman" w:cs="Times New Roman"/>
                <w:b/>
                <w:color w:val="000000"/>
                <w:sz w:val="20"/>
                <w:szCs w:val="20"/>
                <w:lang w:eastAsia="de-DE"/>
              </w:rPr>
              <w:t>mol</w:t>
            </w:r>
            <w:proofErr w:type="spellEnd"/>
            <w:r w:rsidRPr="00A46D20">
              <w:rPr>
                <w:rFonts w:ascii="Times New Roman" w:eastAsia="Times New Roman" w:hAnsi="Times New Roman" w:cs="Times New Roman"/>
                <w:b/>
                <w:color w:val="000000"/>
                <w:sz w:val="20"/>
                <w:szCs w:val="20"/>
                <w:lang w:eastAsia="de-DE"/>
              </w:rPr>
              <w:t>%</w:t>
            </w:r>
          </w:p>
        </w:tc>
      </w:tr>
      <w:tr w:rsidR="009E633E" w:rsidRPr="009E633E" w14:paraId="41AAD948"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0F93A330" w14:textId="77777777" w:rsidR="009E633E" w:rsidRPr="009E633E" w:rsidRDefault="009E633E" w:rsidP="009E633E">
            <w:pPr>
              <w:spacing w:after="0" w:line="240" w:lineRule="auto"/>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LiPF</w:t>
            </w:r>
            <w:r w:rsidRPr="009E633E">
              <w:rPr>
                <w:rFonts w:ascii="Times New Roman" w:eastAsia="Times New Roman" w:hAnsi="Times New Roman" w:cs="Times New Roman"/>
                <w:color w:val="000000"/>
                <w:sz w:val="20"/>
                <w:szCs w:val="20"/>
                <w:vertAlign w:val="subscript"/>
                <w:lang w:eastAsia="de-DE"/>
              </w:rPr>
              <w:t>6</w:t>
            </w:r>
          </w:p>
        </w:tc>
        <w:tc>
          <w:tcPr>
            <w:tcW w:w="642" w:type="dxa"/>
            <w:tcBorders>
              <w:top w:val="nil"/>
              <w:left w:val="nil"/>
              <w:bottom w:val="single" w:sz="4" w:space="0" w:color="auto"/>
              <w:right w:val="single" w:sz="4" w:space="0" w:color="auto"/>
            </w:tcBorders>
            <w:shd w:val="clear" w:color="auto" w:fill="auto"/>
            <w:noWrap/>
            <w:vAlign w:val="bottom"/>
            <w:hideMark/>
          </w:tcPr>
          <w:p w14:paraId="2DE81E76"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14.40</w:t>
            </w:r>
          </w:p>
        </w:tc>
        <w:tc>
          <w:tcPr>
            <w:tcW w:w="1200" w:type="dxa"/>
            <w:tcBorders>
              <w:top w:val="nil"/>
              <w:left w:val="nil"/>
              <w:bottom w:val="single" w:sz="4" w:space="0" w:color="auto"/>
              <w:right w:val="single" w:sz="4" w:space="0" w:color="auto"/>
            </w:tcBorders>
            <w:shd w:val="clear" w:color="auto" w:fill="auto"/>
            <w:noWrap/>
            <w:vAlign w:val="bottom"/>
            <w:hideMark/>
          </w:tcPr>
          <w:p w14:paraId="3CE56D48"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144.00</w:t>
            </w:r>
          </w:p>
        </w:tc>
        <w:tc>
          <w:tcPr>
            <w:tcW w:w="1200" w:type="dxa"/>
            <w:tcBorders>
              <w:top w:val="nil"/>
              <w:left w:val="nil"/>
              <w:bottom w:val="single" w:sz="4" w:space="0" w:color="auto"/>
              <w:right w:val="single" w:sz="4" w:space="0" w:color="auto"/>
            </w:tcBorders>
            <w:shd w:val="clear" w:color="auto" w:fill="auto"/>
            <w:noWrap/>
            <w:vAlign w:val="bottom"/>
            <w:hideMark/>
          </w:tcPr>
          <w:p w14:paraId="489E49E2"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0.95</w:t>
            </w:r>
          </w:p>
        </w:tc>
        <w:tc>
          <w:tcPr>
            <w:tcW w:w="1200" w:type="dxa"/>
            <w:tcBorders>
              <w:top w:val="nil"/>
              <w:left w:val="nil"/>
              <w:bottom w:val="single" w:sz="4" w:space="0" w:color="auto"/>
              <w:right w:val="nil"/>
            </w:tcBorders>
            <w:shd w:val="clear" w:color="auto" w:fill="auto"/>
            <w:noWrap/>
            <w:vAlign w:val="bottom"/>
            <w:hideMark/>
          </w:tcPr>
          <w:p w14:paraId="7B853E10"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9.78</w:t>
            </w:r>
          </w:p>
        </w:tc>
      </w:tr>
      <w:tr w:rsidR="009E633E" w:rsidRPr="009E633E" w14:paraId="597DF101"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525E8788" w14:textId="77777777" w:rsidR="009E633E" w:rsidRPr="009E633E" w:rsidRDefault="009E633E" w:rsidP="009E633E">
            <w:pPr>
              <w:spacing w:after="0" w:line="240" w:lineRule="auto"/>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EC</w:t>
            </w:r>
          </w:p>
        </w:tc>
        <w:tc>
          <w:tcPr>
            <w:tcW w:w="642" w:type="dxa"/>
            <w:tcBorders>
              <w:top w:val="nil"/>
              <w:left w:val="nil"/>
              <w:bottom w:val="single" w:sz="4" w:space="0" w:color="auto"/>
              <w:right w:val="single" w:sz="4" w:space="0" w:color="auto"/>
            </w:tcBorders>
            <w:shd w:val="clear" w:color="auto" w:fill="auto"/>
            <w:noWrap/>
            <w:vAlign w:val="bottom"/>
            <w:hideMark/>
          </w:tcPr>
          <w:p w14:paraId="0F824739"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24.10</w:t>
            </w:r>
          </w:p>
        </w:tc>
        <w:tc>
          <w:tcPr>
            <w:tcW w:w="1200" w:type="dxa"/>
            <w:tcBorders>
              <w:top w:val="nil"/>
              <w:left w:val="nil"/>
              <w:bottom w:val="single" w:sz="4" w:space="0" w:color="auto"/>
              <w:right w:val="single" w:sz="4" w:space="0" w:color="auto"/>
            </w:tcBorders>
            <w:shd w:val="clear" w:color="auto" w:fill="auto"/>
            <w:noWrap/>
            <w:vAlign w:val="bottom"/>
            <w:hideMark/>
          </w:tcPr>
          <w:p w14:paraId="13F30EE1"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241.00</w:t>
            </w:r>
          </w:p>
        </w:tc>
        <w:tc>
          <w:tcPr>
            <w:tcW w:w="1200" w:type="dxa"/>
            <w:tcBorders>
              <w:top w:val="nil"/>
              <w:left w:val="nil"/>
              <w:bottom w:val="single" w:sz="4" w:space="0" w:color="auto"/>
              <w:right w:val="single" w:sz="4" w:space="0" w:color="auto"/>
            </w:tcBorders>
            <w:shd w:val="clear" w:color="auto" w:fill="auto"/>
            <w:noWrap/>
            <w:vAlign w:val="bottom"/>
            <w:hideMark/>
          </w:tcPr>
          <w:p w14:paraId="6E8E97EA"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2.74</w:t>
            </w:r>
          </w:p>
        </w:tc>
        <w:tc>
          <w:tcPr>
            <w:tcW w:w="1200" w:type="dxa"/>
            <w:tcBorders>
              <w:top w:val="nil"/>
              <w:left w:val="nil"/>
              <w:bottom w:val="single" w:sz="4" w:space="0" w:color="auto"/>
              <w:right w:val="nil"/>
            </w:tcBorders>
            <w:shd w:val="clear" w:color="auto" w:fill="auto"/>
            <w:noWrap/>
            <w:vAlign w:val="bottom"/>
            <w:hideMark/>
          </w:tcPr>
          <w:p w14:paraId="6F66E577"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28.23</w:t>
            </w:r>
          </w:p>
        </w:tc>
      </w:tr>
      <w:tr w:rsidR="009E633E" w:rsidRPr="009E633E" w14:paraId="613E6FE4"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4F93870F" w14:textId="77777777" w:rsidR="009E633E" w:rsidRPr="009E633E" w:rsidRDefault="009E633E" w:rsidP="009E633E">
            <w:pPr>
              <w:spacing w:after="0" w:line="240" w:lineRule="auto"/>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EMC</w:t>
            </w:r>
          </w:p>
        </w:tc>
        <w:tc>
          <w:tcPr>
            <w:tcW w:w="642" w:type="dxa"/>
            <w:tcBorders>
              <w:top w:val="nil"/>
              <w:left w:val="nil"/>
              <w:bottom w:val="single" w:sz="4" w:space="0" w:color="auto"/>
              <w:right w:val="single" w:sz="4" w:space="0" w:color="auto"/>
            </w:tcBorders>
            <w:shd w:val="clear" w:color="auto" w:fill="auto"/>
            <w:noWrap/>
            <w:vAlign w:val="bottom"/>
            <w:hideMark/>
          </w:tcPr>
          <w:p w14:paraId="69B1202A"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56.50</w:t>
            </w:r>
          </w:p>
        </w:tc>
        <w:tc>
          <w:tcPr>
            <w:tcW w:w="1200" w:type="dxa"/>
            <w:tcBorders>
              <w:top w:val="nil"/>
              <w:left w:val="nil"/>
              <w:bottom w:val="single" w:sz="4" w:space="0" w:color="auto"/>
              <w:right w:val="single" w:sz="4" w:space="0" w:color="auto"/>
            </w:tcBorders>
            <w:shd w:val="clear" w:color="auto" w:fill="auto"/>
            <w:noWrap/>
            <w:vAlign w:val="bottom"/>
            <w:hideMark/>
          </w:tcPr>
          <w:p w14:paraId="4B2BE3AB"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565.00</w:t>
            </w:r>
          </w:p>
        </w:tc>
        <w:tc>
          <w:tcPr>
            <w:tcW w:w="1200" w:type="dxa"/>
            <w:tcBorders>
              <w:top w:val="nil"/>
              <w:left w:val="nil"/>
              <w:bottom w:val="single" w:sz="4" w:space="0" w:color="auto"/>
              <w:right w:val="single" w:sz="4" w:space="0" w:color="auto"/>
            </w:tcBorders>
            <w:shd w:val="clear" w:color="auto" w:fill="auto"/>
            <w:noWrap/>
            <w:vAlign w:val="bottom"/>
            <w:hideMark/>
          </w:tcPr>
          <w:p w14:paraId="6DC9ECFD"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5.43</w:t>
            </w:r>
          </w:p>
        </w:tc>
        <w:tc>
          <w:tcPr>
            <w:tcW w:w="1200" w:type="dxa"/>
            <w:tcBorders>
              <w:top w:val="nil"/>
              <w:left w:val="nil"/>
              <w:bottom w:val="single" w:sz="4" w:space="0" w:color="auto"/>
              <w:right w:val="nil"/>
            </w:tcBorders>
            <w:shd w:val="clear" w:color="auto" w:fill="auto"/>
            <w:noWrap/>
            <w:vAlign w:val="bottom"/>
            <w:hideMark/>
          </w:tcPr>
          <w:p w14:paraId="769585E4"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55.99</w:t>
            </w:r>
          </w:p>
        </w:tc>
      </w:tr>
      <w:tr w:rsidR="009E633E" w:rsidRPr="009E633E" w14:paraId="25260EA8" w14:textId="77777777" w:rsidTr="009E633E">
        <w:trPr>
          <w:trHeight w:val="300"/>
        </w:trPr>
        <w:tc>
          <w:tcPr>
            <w:tcW w:w="2400" w:type="dxa"/>
            <w:tcBorders>
              <w:top w:val="nil"/>
              <w:left w:val="nil"/>
              <w:bottom w:val="nil"/>
              <w:right w:val="single" w:sz="4" w:space="0" w:color="auto"/>
            </w:tcBorders>
            <w:shd w:val="clear" w:color="auto" w:fill="auto"/>
            <w:noWrap/>
            <w:vAlign w:val="bottom"/>
            <w:hideMark/>
          </w:tcPr>
          <w:p w14:paraId="3357659B" w14:textId="77777777" w:rsidR="009E633E" w:rsidRPr="009E633E" w:rsidRDefault="009E633E" w:rsidP="009E633E">
            <w:pPr>
              <w:spacing w:after="0" w:line="240" w:lineRule="auto"/>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VC</w:t>
            </w:r>
          </w:p>
        </w:tc>
        <w:tc>
          <w:tcPr>
            <w:tcW w:w="642" w:type="dxa"/>
            <w:tcBorders>
              <w:top w:val="nil"/>
              <w:left w:val="nil"/>
              <w:bottom w:val="nil"/>
              <w:right w:val="single" w:sz="4" w:space="0" w:color="auto"/>
            </w:tcBorders>
            <w:shd w:val="clear" w:color="auto" w:fill="auto"/>
            <w:noWrap/>
            <w:vAlign w:val="bottom"/>
            <w:hideMark/>
          </w:tcPr>
          <w:p w14:paraId="3AE1B4BD"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5.00</w:t>
            </w:r>
          </w:p>
        </w:tc>
        <w:tc>
          <w:tcPr>
            <w:tcW w:w="1200" w:type="dxa"/>
            <w:tcBorders>
              <w:top w:val="nil"/>
              <w:left w:val="nil"/>
              <w:bottom w:val="nil"/>
              <w:right w:val="single" w:sz="4" w:space="0" w:color="auto"/>
            </w:tcBorders>
            <w:shd w:val="clear" w:color="auto" w:fill="auto"/>
            <w:noWrap/>
            <w:vAlign w:val="bottom"/>
            <w:hideMark/>
          </w:tcPr>
          <w:p w14:paraId="7FDF90CC"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50.00</w:t>
            </w:r>
          </w:p>
        </w:tc>
        <w:tc>
          <w:tcPr>
            <w:tcW w:w="1200" w:type="dxa"/>
            <w:tcBorders>
              <w:top w:val="nil"/>
              <w:left w:val="nil"/>
              <w:bottom w:val="nil"/>
              <w:right w:val="single" w:sz="4" w:space="0" w:color="auto"/>
            </w:tcBorders>
            <w:shd w:val="clear" w:color="auto" w:fill="auto"/>
            <w:noWrap/>
            <w:vAlign w:val="bottom"/>
            <w:hideMark/>
          </w:tcPr>
          <w:p w14:paraId="3EC2CFA8"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0.58</w:t>
            </w:r>
          </w:p>
        </w:tc>
        <w:tc>
          <w:tcPr>
            <w:tcW w:w="1200" w:type="dxa"/>
            <w:tcBorders>
              <w:top w:val="nil"/>
              <w:left w:val="nil"/>
              <w:bottom w:val="nil"/>
              <w:right w:val="nil"/>
            </w:tcBorders>
            <w:shd w:val="clear" w:color="auto" w:fill="auto"/>
            <w:noWrap/>
            <w:vAlign w:val="bottom"/>
            <w:hideMark/>
          </w:tcPr>
          <w:p w14:paraId="52A52916"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5.99</w:t>
            </w:r>
          </w:p>
        </w:tc>
      </w:tr>
      <w:tr w:rsidR="009E633E" w:rsidRPr="009E633E" w14:paraId="17226EED" w14:textId="77777777" w:rsidTr="009E633E">
        <w:trPr>
          <w:trHeight w:val="300"/>
        </w:trPr>
        <w:tc>
          <w:tcPr>
            <w:tcW w:w="2400" w:type="dxa"/>
            <w:tcBorders>
              <w:top w:val="nil"/>
              <w:left w:val="nil"/>
              <w:bottom w:val="nil"/>
              <w:right w:val="nil"/>
            </w:tcBorders>
            <w:shd w:val="clear" w:color="auto" w:fill="auto"/>
            <w:noWrap/>
            <w:vAlign w:val="bottom"/>
            <w:hideMark/>
          </w:tcPr>
          <w:p w14:paraId="400CF875"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p>
        </w:tc>
        <w:tc>
          <w:tcPr>
            <w:tcW w:w="642" w:type="dxa"/>
            <w:tcBorders>
              <w:top w:val="nil"/>
              <w:left w:val="nil"/>
              <w:bottom w:val="nil"/>
              <w:right w:val="nil"/>
            </w:tcBorders>
            <w:shd w:val="clear" w:color="auto" w:fill="auto"/>
            <w:noWrap/>
            <w:vAlign w:val="bottom"/>
            <w:hideMark/>
          </w:tcPr>
          <w:p w14:paraId="4CA46789" w14:textId="77777777" w:rsidR="009E633E" w:rsidRPr="009E633E" w:rsidRDefault="009E633E" w:rsidP="009E633E">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shd w:val="clear" w:color="auto" w:fill="auto"/>
            <w:noWrap/>
            <w:vAlign w:val="bottom"/>
            <w:hideMark/>
          </w:tcPr>
          <w:p w14:paraId="5A24D41A" w14:textId="77777777" w:rsidR="009E633E" w:rsidRPr="009E633E" w:rsidRDefault="009E633E" w:rsidP="009E633E">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shd w:val="clear" w:color="auto" w:fill="auto"/>
            <w:noWrap/>
            <w:vAlign w:val="bottom"/>
            <w:hideMark/>
          </w:tcPr>
          <w:p w14:paraId="51E9C169" w14:textId="77777777" w:rsidR="009E633E" w:rsidRPr="009E633E" w:rsidRDefault="009E633E" w:rsidP="009E633E">
            <w:pPr>
              <w:spacing w:after="0" w:line="240" w:lineRule="auto"/>
              <w:rPr>
                <w:rFonts w:ascii="Times New Roman" w:eastAsia="Times New Roman" w:hAnsi="Times New Roman" w:cs="Times New Roman"/>
                <w:sz w:val="20"/>
                <w:szCs w:val="20"/>
                <w:lang w:eastAsia="de-DE"/>
              </w:rPr>
            </w:pPr>
          </w:p>
        </w:tc>
        <w:tc>
          <w:tcPr>
            <w:tcW w:w="1200" w:type="dxa"/>
            <w:tcBorders>
              <w:top w:val="nil"/>
              <w:left w:val="nil"/>
              <w:bottom w:val="nil"/>
              <w:right w:val="nil"/>
            </w:tcBorders>
            <w:shd w:val="clear" w:color="auto" w:fill="auto"/>
            <w:noWrap/>
            <w:vAlign w:val="bottom"/>
            <w:hideMark/>
          </w:tcPr>
          <w:p w14:paraId="0FADBC6E" w14:textId="77777777" w:rsidR="009E633E" w:rsidRPr="009E633E" w:rsidRDefault="009E633E" w:rsidP="009E633E">
            <w:pPr>
              <w:spacing w:after="0" w:line="240" w:lineRule="auto"/>
              <w:rPr>
                <w:rFonts w:ascii="Times New Roman" w:eastAsia="Times New Roman" w:hAnsi="Times New Roman" w:cs="Times New Roman"/>
                <w:sz w:val="20"/>
                <w:szCs w:val="20"/>
                <w:lang w:eastAsia="de-DE"/>
              </w:rPr>
            </w:pPr>
          </w:p>
        </w:tc>
      </w:tr>
      <w:tr w:rsidR="009E633E" w:rsidRPr="00233D48" w14:paraId="4DAA1412" w14:textId="77777777" w:rsidTr="009E633E">
        <w:trPr>
          <w:trHeight w:val="300"/>
        </w:trPr>
        <w:tc>
          <w:tcPr>
            <w:tcW w:w="6642" w:type="dxa"/>
            <w:gridSpan w:val="5"/>
            <w:tcBorders>
              <w:top w:val="nil"/>
              <w:left w:val="nil"/>
              <w:bottom w:val="nil"/>
              <w:right w:val="nil"/>
            </w:tcBorders>
            <w:shd w:val="clear" w:color="auto" w:fill="auto"/>
            <w:noWrap/>
            <w:vAlign w:val="bottom"/>
            <w:hideMark/>
          </w:tcPr>
          <w:p w14:paraId="1F063EF6" w14:textId="01E1C854" w:rsidR="009E633E" w:rsidRPr="00FC47EB" w:rsidRDefault="00FC47EB" w:rsidP="009E633E">
            <w:pPr>
              <w:spacing w:after="0" w:line="240" w:lineRule="auto"/>
              <w:rPr>
                <w:rFonts w:ascii="Times New Roman" w:eastAsia="Times New Roman" w:hAnsi="Times New Roman" w:cs="Times New Roman"/>
                <w:bCs/>
                <w:color w:val="000000"/>
                <w:sz w:val="16"/>
                <w:szCs w:val="20"/>
                <w:lang w:val="en-US" w:eastAsia="de-DE"/>
              </w:rPr>
            </w:pPr>
            <w:r>
              <w:rPr>
                <w:rFonts w:ascii="Times New Roman" w:eastAsia="Times New Roman" w:hAnsi="Times New Roman" w:cs="Times New Roman"/>
                <w:bCs/>
                <w:color w:val="000000"/>
                <w:sz w:val="16"/>
                <w:szCs w:val="20"/>
                <w:lang w:val="en-US" w:eastAsia="de-DE"/>
              </w:rPr>
              <w:t>Table A.</w:t>
            </w:r>
            <w:r w:rsidR="00654C31">
              <w:rPr>
                <w:rFonts w:ascii="Times New Roman" w:eastAsia="Times New Roman" w:hAnsi="Times New Roman" w:cs="Times New Roman"/>
                <w:bCs/>
                <w:color w:val="000000"/>
                <w:sz w:val="16"/>
                <w:szCs w:val="20"/>
                <w:lang w:val="en-US" w:eastAsia="de-DE"/>
              </w:rPr>
              <w:t>1.</w:t>
            </w:r>
            <w:r>
              <w:rPr>
                <w:rFonts w:ascii="Times New Roman" w:eastAsia="Times New Roman" w:hAnsi="Times New Roman" w:cs="Times New Roman"/>
                <w:bCs/>
                <w:color w:val="000000"/>
                <w:sz w:val="16"/>
                <w:szCs w:val="20"/>
                <w:lang w:val="en-US" w:eastAsia="de-DE"/>
              </w:rPr>
              <w:t xml:space="preserve">3. </w:t>
            </w:r>
            <w:r w:rsidR="009E633E" w:rsidRPr="00FC47EB">
              <w:rPr>
                <w:rFonts w:ascii="Times New Roman" w:eastAsia="Times New Roman" w:hAnsi="Times New Roman" w:cs="Times New Roman"/>
                <w:bCs/>
                <w:color w:val="000000"/>
                <w:sz w:val="16"/>
                <w:szCs w:val="20"/>
                <w:lang w:val="en-US" w:eastAsia="de-DE"/>
              </w:rPr>
              <w:t xml:space="preserve">Electrolyte containing </w:t>
            </w:r>
            <w:r w:rsidRPr="00FC47EB">
              <w:rPr>
                <w:rFonts w:ascii="Times New Roman" w:eastAsia="Times New Roman" w:hAnsi="Times New Roman" w:cs="Times New Roman"/>
                <w:bCs/>
                <w:color w:val="000000"/>
                <w:sz w:val="16"/>
                <w:szCs w:val="20"/>
                <w:lang w:val="en-US" w:eastAsia="de-DE"/>
              </w:rPr>
              <w:t>fluoroethylene</w:t>
            </w:r>
            <w:r w:rsidR="009E633E" w:rsidRPr="00FC47EB">
              <w:rPr>
                <w:rFonts w:ascii="Times New Roman" w:eastAsia="Times New Roman" w:hAnsi="Times New Roman" w:cs="Times New Roman"/>
                <w:bCs/>
                <w:color w:val="000000"/>
                <w:sz w:val="16"/>
                <w:szCs w:val="20"/>
                <w:lang w:val="en-US" w:eastAsia="de-DE"/>
              </w:rPr>
              <w:t xml:space="preserve"> carbonate additive (AE-FEC)</w:t>
            </w:r>
          </w:p>
        </w:tc>
      </w:tr>
      <w:tr w:rsidR="009E633E" w:rsidRPr="00FC47EB" w14:paraId="2836FDA0"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10D0D2EE" w14:textId="77777777" w:rsidR="009E633E" w:rsidRPr="009E633E" w:rsidRDefault="009E633E" w:rsidP="009E633E">
            <w:pPr>
              <w:spacing w:after="0" w:line="240" w:lineRule="auto"/>
              <w:rPr>
                <w:rFonts w:ascii="Times New Roman" w:eastAsia="Times New Roman" w:hAnsi="Times New Roman" w:cs="Times New Roman"/>
                <w:color w:val="000000"/>
                <w:sz w:val="20"/>
                <w:szCs w:val="20"/>
                <w:lang w:val="en-US" w:eastAsia="de-DE"/>
              </w:rPr>
            </w:pPr>
            <w:r w:rsidRPr="009E633E">
              <w:rPr>
                <w:rFonts w:ascii="Times New Roman" w:eastAsia="Times New Roman" w:hAnsi="Times New Roman" w:cs="Times New Roman"/>
                <w:color w:val="000000"/>
                <w:sz w:val="20"/>
                <w:szCs w:val="20"/>
                <w:lang w:val="en-US" w:eastAsia="de-DE"/>
              </w:rPr>
              <w:t> </w:t>
            </w:r>
          </w:p>
        </w:tc>
        <w:tc>
          <w:tcPr>
            <w:tcW w:w="642" w:type="dxa"/>
            <w:tcBorders>
              <w:top w:val="nil"/>
              <w:left w:val="nil"/>
              <w:bottom w:val="single" w:sz="4" w:space="0" w:color="auto"/>
              <w:right w:val="single" w:sz="4" w:space="0" w:color="auto"/>
            </w:tcBorders>
            <w:shd w:val="clear" w:color="auto" w:fill="auto"/>
            <w:noWrap/>
            <w:vAlign w:val="bottom"/>
            <w:hideMark/>
          </w:tcPr>
          <w:p w14:paraId="3638A684"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46D20">
              <w:rPr>
                <w:rFonts w:ascii="Times New Roman" w:eastAsia="Times New Roman" w:hAnsi="Times New Roman" w:cs="Times New Roman"/>
                <w:b/>
                <w:color w:val="000000"/>
                <w:sz w:val="20"/>
                <w:szCs w:val="20"/>
                <w:lang w:val="en-US" w:eastAsia="de-DE"/>
              </w:rPr>
              <w:t>wt%</w:t>
            </w:r>
          </w:p>
        </w:tc>
        <w:tc>
          <w:tcPr>
            <w:tcW w:w="1200" w:type="dxa"/>
            <w:tcBorders>
              <w:top w:val="nil"/>
              <w:left w:val="nil"/>
              <w:bottom w:val="single" w:sz="4" w:space="0" w:color="auto"/>
              <w:right w:val="single" w:sz="4" w:space="0" w:color="auto"/>
            </w:tcBorders>
            <w:shd w:val="clear" w:color="auto" w:fill="auto"/>
            <w:noWrap/>
            <w:vAlign w:val="bottom"/>
            <w:hideMark/>
          </w:tcPr>
          <w:p w14:paraId="3658D651"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46D20">
              <w:rPr>
                <w:rFonts w:ascii="Times New Roman" w:eastAsia="Times New Roman" w:hAnsi="Times New Roman" w:cs="Times New Roman"/>
                <w:b/>
                <w:color w:val="000000"/>
                <w:sz w:val="20"/>
                <w:szCs w:val="20"/>
                <w:lang w:val="en-US" w:eastAsia="de-DE"/>
              </w:rPr>
              <w:t>m [g]</w:t>
            </w:r>
          </w:p>
        </w:tc>
        <w:tc>
          <w:tcPr>
            <w:tcW w:w="1200" w:type="dxa"/>
            <w:tcBorders>
              <w:top w:val="nil"/>
              <w:left w:val="nil"/>
              <w:bottom w:val="single" w:sz="4" w:space="0" w:color="auto"/>
              <w:right w:val="single" w:sz="4" w:space="0" w:color="auto"/>
            </w:tcBorders>
            <w:shd w:val="clear" w:color="auto" w:fill="auto"/>
            <w:noWrap/>
            <w:vAlign w:val="bottom"/>
            <w:hideMark/>
          </w:tcPr>
          <w:p w14:paraId="0922BC64"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46D20">
              <w:rPr>
                <w:rFonts w:ascii="Times New Roman" w:eastAsia="Times New Roman" w:hAnsi="Times New Roman" w:cs="Times New Roman"/>
                <w:b/>
                <w:color w:val="000000"/>
                <w:sz w:val="20"/>
                <w:szCs w:val="20"/>
                <w:lang w:val="en-US" w:eastAsia="de-DE"/>
              </w:rPr>
              <w:t>n [mol]</w:t>
            </w:r>
          </w:p>
        </w:tc>
        <w:tc>
          <w:tcPr>
            <w:tcW w:w="1200" w:type="dxa"/>
            <w:tcBorders>
              <w:top w:val="nil"/>
              <w:left w:val="nil"/>
              <w:bottom w:val="single" w:sz="4" w:space="0" w:color="auto"/>
              <w:right w:val="nil"/>
            </w:tcBorders>
            <w:shd w:val="clear" w:color="auto" w:fill="auto"/>
            <w:noWrap/>
            <w:vAlign w:val="bottom"/>
            <w:hideMark/>
          </w:tcPr>
          <w:p w14:paraId="14A20F70" w14:textId="77777777" w:rsidR="009E633E" w:rsidRPr="00A46D20"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46D20">
              <w:rPr>
                <w:rFonts w:ascii="Times New Roman" w:eastAsia="Times New Roman" w:hAnsi="Times New Roman" w:cs="Times New Roman"/>
                <w:b/>
                <w:color w:val="000000"/>
                <w:sz w:val="20"/>
                <w:szCs w:val="20"/>
                <w:lang w:val="en-US" w:eastAsia="de-DE"/>
              </w:rPr>
              <w:t>mol%</w:t>
            </w:r>
          </w:p>
        </w:tc>
      </w:tr>
      <w:tr w:rsidR="009E633E" w:rsidRPr="00FC47EB" w14:paraId="3EF9613C"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60ACB6F8" w14:textId="77777777" w:rsidR="009E633E" w:rsidRPr="00FC47EB" w:rsidRDefault="009E633E" w:rsidP="009E633E">
            <w:pPr>
              <w:spacing w:after="0" w:line="240" w:lineRule="auto"/>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LiPF</w:t>
            </w:r>
            <w:r w:rsidRPr="00FC47EB">
              <w:rPr>
                <w:rFonts w:ascii="Times New Roman" w:eastAsia="Times New Roman" w:hAnsi="Times New Roman" w:cs="Times New Roman"/>
                <w:color w:val="000000"/>
                <w:sz w:val="20"/>
                <w:szCs w:val="20"/>
                <w:vertAlign w:val="subscript"/>
                <w:lang w:val="en-US" w:eastAsia="de-DE"/>
              </w:rPr>
              <w:t>6</w:t>
            </w:r>
          </w:p>
        </w:tc>
        <w:tc>
          <w:tcPr>
            <w:tcW w:w="642" w:type="dxa"/>
            <w:tcBorders>
              <w:top w:val="nil"/>
              <w:left w:val="nil"/>
              <w:bottom w:val="single" w:sz="4" w:space="0" w:color="auto"/>
              <w:right w:val="single" w:sz="4" w:space="0" w:color="auto"/>
            </w:tcBorders>
            <w:shd w:val="clear" w:color="auto" w:fill="auto"/>
            <w:noWrap/>
            <w:vAlign w:val="bottom"/>
            <w:hideMark/>
          </w:tcPr>
          <w:p w14:paraId="5CF42BBF"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14.23</w:t>
            </w:r>
          </w:p>
        </w:tc>
        <w:tc>
          <w:tcPr>
            <w:tcW w:w="1200" w:type="dxa"/>
            <w:tcBorders>
              <w:top w:val="nil"/>
              <w:left w:val="nil"/>
              <w:bottom w:val="single" w:sz="4" w:space="0" w:color="auto"/>
              <w:right w:val="single" w:sz="4" w:space="0" w:color="auto"/>
            </w:tcBorders>
            <w:shd w:val="clear" w:color="auto" w:fill="auto"/>
            <w:noWrap/>
            <w:vAlign w:val="bottom"/>
            <w:hideMark/>
          </w:tcPr>
          <w:p w14:paraId="1E3F2E8F"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144.00</w:t>
            </w:r>
          </w:p>
        </w:tc>
        <w:tc>
          <w:tcPr>
            <w:tcW w:w="1200" w:type="dxa"/>
            <w:tcBorders>
              <w:top w:val="nil"/>
              <w:left w:val="nil"/>
              <w:bottom w:val="single" w:sz="4" w:space="0" w:color="auto"/>
              <w:right w:val="single" w:sz="4" w:space="0" w:color="auto"/>
            </w:tcBorders>
            <w:shd w:val="clear" w:color="auto" w:fill="auto"/>
            <w:noWrap/>
            <w:vAlign w:val="bottom"/>
            <w:hideMark/>
          </w:tcPr>
          <w:p w14:paraId="78E9D433"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0.95</w:t>
            </w:r>
          </w:p>
        </w:tc>
        <w:tc>
          <w:tcPr>
            <w:tcW w:w="1200" w:type="dxa"/>
            <w:tcBorders>
              <w:top w:val="nil"/>
              <w:left w:val="nil"/>
              <w:bottom w:val="single" w:sz="4" w:space="0" w:color="auto"/>
              <w:right w:val="nil"/>
            </w:tcBorders>
            <w:shd w:val="clear" w:color="auto" w:fill="auto"/>
            <w:noWrap/>
            <w:vAlign w:val="bottom"/>
            <w:hideMark/>
          </w:tcPr>
          <w:p w14:paraId="3D7EA7D5"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9.78</w:t>
            </w:r>
          </w:p>
        </w:tc>
      </w:tr>
      <w:tr w:rsidR="009E633E" w:rsidRPr="00FC47EB" w14:paraId="43E4492C"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0013FFE3" w14:textId="77777777" w:rsidR="009E633E" w:rsidRPr="00FC47EB" w:rsidRDefault="009E633E" w:rsidP="009E633E">
            <w:pPr>
              <w:spacing w:after="0" w:line="240" w:lineRule="auto"/>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EC</w:t>
            </w:r>
          </w:p>
        </w:tc>
        <w:tc>
          <w:tcPr>
            <w:tcW w:w="642" w:type="dxa"/>
            <w:tcBorders>
              <w:top w:val="nil"/>
              <w:left w:val="nil"/>
              <w:bottom w:val="single" w:sz="4" w:space="0" w:color="auto"/>
              <w:right w:val="single" w:sz="4" w:space="0" w:color="auto"/>
            </w:tcBorders>
            <w:shd w:val="clear" w:color="auto" w:fill="auto"/>
            <w:noWrap/>
            <w:vAlign w:val="bottom"/>
            <w:hideMark/>
          </w:tcPr>
          <w:p w14:paraId="1A4C46B6"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23.82</w:t>
            </w:r>
          </w:p>
        </w:tc>
        <w:tc>
          <w:tcPr>
            <w:tcW w:w="1200" w:type="dxa"/>
            <w:tcBorders>
              <w:top w:val="nil"/>
              <w:left w:val="nil"/>
              <w:bottom w:val="single" w:sz="4" w:space="0" w:color="auto"/>
              <w:right w:val="single" w:sz="4" w:space="0" w:color="auto"/>
            </w:tcBorders>
            <w:shd w:val="clear" w:color="auto" w:fill="auto"/>
            <w:noWrap/>
            <w:vAlign w:val="bottom"/>
            <w:hideMark/>
          </w:tcPr>
          <w:p w14:paraId="7B418424"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241.00</w:t>
            </w:r>
          </w:p>
        </w:tc>
        <w:tc>
          <w:tcPr>
            <w:tcW w:w="1200" w:type="dxa"/>
            <w:tcBorders>
              <w:top w:val="nil"/>
              <w:left w:val="nil"/>
              <w:bottom w:val="single" w:sz="4" w:space="0" w:color="auto"/>
              <w:right w:val="single" w:sz="4" w:space="0" w:color="auto"/>
            </w:tcBorders>
            <w:shd w:val="clear" w:color="auto" w:fill="auto"/>
            <w:noWrap/>
            <w:vAlign w:val="bottom"/>
            <w:hideMark/>
          </w:tcPr>
          <w:p w14:paraId="1B774047"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2.74</w:t>
            </w:r>
          </w:p>
        </w:tc>
        <w:tc>
          <w:tcPr>
            <w:tcW w:w="1200" w:type="dxa"/>
            <w:tcBorders>
              <w:top w:val="nil"/>
              <w:left w:val="nil"/>
              <w:bottom w:val="single" w:sz="4" w:space="0" w:color="auto"/>
              <w:right w:val="nil"/>
            </w:tcBorders>
            <w:shd w:val="clear" w:color="auto" w:fill="auto"/>
            <w:noWrap/>
            <w:vAlign w:val="bottom"/>
            <w:hideMark/>
          </w:tcPr>
          <w:p w14:paraId="48E9941F"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28.23</w:t>
            </w:r>
          </w:p>
        </w:tc>
      </w:tr>
      <w:tr w:rsidR="009E633E" w:rsidRPr="00FC47EB" w14:paraId="49B5824C" w14:textId="77777777" w:rsidTr="009E633E">
        <w:trPr>
          <w:trHeight w:val="300"/>
        </w:trPr>
        <w:tc>
          <w:tcPr>
            <w:tcW w:w="2400" w:type="dxa"/>
            <w:tcBorders>
              <w:top w:val="nil"/>
              <w:left w:val="nil"/>
              <w:bottom w:val="single" w:sz="4" w:space="0" w:color="auto"/>
              <w:right w:val="single" w:sz="4" w:space="0" w:color="auto"/>
            </w:tcBorders>
            <w:shd w:val="clear" w:color="auto" w:fill="auto"/>
            <w:noWrap/>
            <w:vAlign w:val="bottom"/>
            <w:hideMark/>
          </w:tcPr>
          <w:p w14:paraId="27D7E3A5" w14:textId="77777777" w:rsidR="009E633E" w:rsidRPr="00FC47EB" w:rsidRDefault="009E633E" w:rsidP="009E633E">
            <w:pPr>
              <w:spacing w:after="0" w:line="240" w:lineRule="auto"/>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EMC</w:t>
            </w:r>
          </w:p>
        </w:tc>
        <w:tc>
          <w:tcPr>
            <w:tcW w:w="642" w:type="dxa"/>
            <w:tcBorders>
              <w:top w:val="nil"/>
              <w:left w:val="nil"/>
              <w:bottom w:val="single" w:sz="4" w:space="0" w:color="auto"/>
              <w:right w:val="single" w:sz="4" w:space="0" w:color="auto"/>
            </w:tcBorders>
            <w:shd w:val="clear" w:color="auto" w:fill="auto"/>
            <w:noWrap/>
            <w:vAlign w:val="bottom"/>
            <w:hideMark/>
          </w:tcPr>
          <w:p w14:paraId="2044EF6F"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55.85</w:t>
            </w:r>
          </w:p>
        </w:tc>
        <w:tc>
          <w:tcPr>
            <w:tcW w:w="1200" w:type="dxa"/>
            <w:tcBorders>
              <w:top w:val="nil"/>
              <w:left w:val="nil"/>
              <w:bottom w:val="single" w:sz="4" w:space="0" w:color="auto"/>
              <w:right w:val="single" w:sz="4" w:space="0" w:color="auto"/>
            </w:tcBorders>
            <w:shd w:val="clear" w:color="auto" w:fill="auto"/>
            <w:noWrap/>
            <w:vAlign w:val="bottom"/>
            <w:hideMark/>
          </w:tcPr>
          <w:p w14:paraId="0FA23B89"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565.00</w:t>
            </w:r>
          </w:p>
        </w:tc>
        <w:tc>
          <w:tcPr>
            <w:tcW w:w="1200" w:type="dxa"/>
            <w:tcBorders>
              <w:top w:val="nil"/>
              <w:left w:val="nil"/>
              <w:bottom w:val="single" w:sz="4" w:space="0" w:color="auto"/>
              <w:right w:val="single" w:sz="4" w:space="0" w:color="auto"/>
            </w:tcBorders>
            <w:shd w:val="clear" w:color="auto" w:fill="auto"/>
            <w:noWrap/>
            <w:vAlign w:val="bottom"/>
            <w:hideMark/>
          </w:tcPr>
          <w:p w14:paraId="5DD2B1D0"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5.43</w:t>
            </w:r>
          </w:p>
        </w:tc>
        <w:tc>
          <w:tcPr>
            <w:tcW w:w="1200" w:type="dxa"/>
            <w:tcBorders>
              <w:top w:val="nil"/>
              <w:left w:val="nil"/>
              <w:bottom w:val="single" w:sz="4" w:space="0" w:color="auto"/>
              <w:right w:val="nil"/>
            </w:tcBorders>
            <w:shd w:val="clear" w:color="auto" w:fill="auto"/>
            <w:noWrap/>
            <w:vAlign w:val="bottom"/>
            <w:hideMark/>
          </w:tcPr>
          <w:p w14:paraId="76FC577E"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55.99</w:t>
            </w:r>
          </w:p>
        </w:tc>
      </w:tr>
      <w:tr w:rsidR="009E633E" w:rsidRPr="009E633E" w14:paraId="2D872D71" w14:textId="77777777" w:rsidTr="009E633E">
        <w:trPr>
          <w:trHeight w:val="300"/>
        </w:trPr>
        <w:tc>
          <w:tcPr>
            <w:tcW w:w="2400" w:type="dxa"/>
            <w:tcBorders>
              <w:top w:val="nil"/>
              <w:left w:val="nil"/>
              <w:bottom w:val="nil"/>
              <w:right w:val="single" w:sz="4" w:space="0" w:color="auto"/>
            </w:tcBorders>
            <w:shd w:val="clear" w:color="auto" w:fill="auto"/>
            <w:noWrap/>
            <w:vAlign w:val="bottom"/>
            <w:hideMark/>
          </w:tcPr>
          <w:p w14:paraId="53546B76" w14:textId="77777777" w:rsidR="009E633E" w:rsidRPr="00FC47EB" w:rsidRDefault="009E633E" w:rsidP="009E633E">
            <w:pPr>
              <w:spacing w:after="0" w:line="240" w:lineRule="auto"/>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FEC</w:t>
            </w:r>
          </w:p>
        </w:tc>
        <w:tc>
          <w:tcPr>
            <w:tcW w:w="642" w:type="dxa"/>
            <w:tcBorders>
              <w:top w:val="nil"/>
              <w:left w:val="nil"/>
              <w:bottom w:val="nil"/>
              <w:right w:val="single" w:sz="4" w:space="0" w:color="auto"/>
            </w:tcBorders>
            <w:shd w:val="clear" w:color="auto" w:fill="auto"/>
            <w:noWrap/>
            <w:vAlign w:val="bottom"/>
            <w:hideMark/>
          </w:tcPr>
          <w:p w14:paraId="68AB5D24" w14:textId="77777777" w:rsidR="009E633E" w:rsidRPr="00FC47EB"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FC47EB">
              <w:rPr>
                <w:rFonts w:ascii="Times New Roman" w:eastAsia="Times New Roman" w:hAnsi="Times New Roman" w:cs="Times New Roman"/>
                <w:color w:val="000000"/>
                <w:sz w:val="20"/>
                <w:szCs w:val="20"/>
                <w:lang w:val="en-US" w:eastAsia="de-DE"/>
              </w:rPr>
              <w:t>6.09</w:t>
            </w:r>
          </w:p>
        </w:tc>
        <w:tc>
          <w:tcPr>
            <w:tcW w:w="1200" w:type="dxa"/>
            <w:tcBorders>
              <w:top w:val="nil"/>
              <w:left w:val="nil"/>
              <w:bottom w:val="nil"/>
              <w:right w:val="single" w:sz="4" w:space="0" w:color="auto"/>
            </w:tcBorders>
            <w:shd w:val="clear" w:color="auto" w:fill="auto"/>
            <w:noWrap/>
            <w:vAlign w:val="bottom"/>
            <w:hideMark/>
          </w:tcPr>
          <w:p w14:paraId="11210EAA"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FC47EB">
              <w:rPr>
                <w:rFonts w:ascii="Times New Roman" w:eastAsia="Times New Roman" w:hAnsi="Times New Roman" w:cs="Times New Roman"/>
                <w:color w:val="000000"/>
                <w:sz w:val="20"/>
                <w:szCs w:val="20"/>
                <w:lang w:val="en-US" w:eastAsia="de-DE"/>
              </w:rPr>
              <w:t>6</w:t>
            </w:r>
            <w:r w:rsidRPr="009E633E">
              <w:rPr>
                <w:rFonts w:ascii="Times New Roman" w:eastAsia="Times New Roman" w:hAnsi="Times New Roman" w:cs="Times New Roman"/>
                <w:color w:val="000000"/>
                <w:sz w:val="20"/>
                <w:szCs w:val="20"/>
                <w:lang w:eastAsia="de-DE"/>
              </w:rPr>
              <w:t>1.62</w:t>
            </w:r>
          </w:p>
        </w:tc>
        <w:tc>
          <w:tcPr>
            <w:tcW w:w="1200" w:type="dxa"/>
            <w:tcBorders>
              <w:top w:val="nil"/>
              <w:left w:val="nil"/>
              <w:bottom w:val="nil"/>
              <w:right w:val="single" w:sz="4" w:space="0" w:color="auto"/>
            </w:tcBorders>
            <w:shd w:val="clear" w:color="auto" w:fill="auto"/>
            <w:noWrap/>
            <w:vAlign w:val="bottom"/>
            <w:hideMark/>
          </w:tcPr>
          <w:p w14:paraId="3C3C4867"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0.58</w:t>
            </w:r>
          </w:p>
        </w:tc>
        <w:tc>
          <w:tcPr>
            <w:tcW w:w="1200" w:type="dxa"/>
            <w:tcBorders>
              <w:top w:val="nil"/>
              <w:left w:val="nil"/>
              <w:bottom w:val="nil"/>
              <w:right w:val="nil"/>
            </w:tcBorders>
            <w:shd w:val="clear" w:color="auto" w:fill="auto"/>
            <w:noWrap/>
            <w:vAlign w:val="bottom"/>
            <w:hideMark/>
          </w:tcPr>
          <w:p w14:paraId="6FB27D8B" w14:textId="77777777" w:rsidR="009E633E" w:rsidRPr="009E633E" w:rsidRDefault="009E633E" w:rsidP="009E633E">
            <w:pPr>
              <w:spacing w:after="0" w:line="240" w:lineRule="auto"/>
              <w:jc w:val="right"/>
              <w:rPr>
                <w:rFonts w:ascii="Times New Roman" w:eastAsia="Times New Roman" w:hAnsi="Times New Roman" w:cs="Times New Roman"/>
                <w:color w:val="000000"/>
                <w:sz w:val="20"/>
                <w:szCs w:val="20"/>
                <w:lang w:eastAsia="de-DE"/>
              </w:rPr>
            </w:pPr>
            <w:r w:rsidRPr="009E633E">
              <w:rPr>
                <w:rFonts w:ascii="Times New Roman" w:eastAsia="Times New Roman" w:hAnsi="Times New Roman" w:cs="Times New Roman"/>
                <w:color w:val="000000"/>
                <w:sz w:val="20"/>
                <w:szCs w:val="20"/>
                <w:lang w:eastAsia="de-DE"/>
              </w:rPr>
              <w:t>5.99</w:t>
            </w:r>
          </w:p>
        </w:tc>
      </w:tr>
    </w:tbl>
    <w:p w14:paraId="35E709EA" w14:textId="77777777" w:rsidR="009E633E" w:rsidRPr="009E633E" w:rsidRDefault="009E633E" w:rsidP="009E633E">
      <w:pPr>
        <w:jc w:val="both"/>
        <w:rPr>
          <w:rFonts w:ascii="Times New Roman" w:hAnsi="Times New Roman" w:cs="Times New Roman"/>
          <w:sz w:val="20"/>
          <w:szCs w:val="20"/>
          <w:lang w:val="en-US"/>
        </w:rPr>
      </w:pPr>
    </w:p>
    <w:p w14:paraId="7B7422E2" w14:textId="77777777" w:rsidR="009E633E" w:rsidRPr="009E633E" w:rsidRDefault="009E633E" w:rsidP="009E633E">
      <w:pPr>
        <w:jc w:val="both"/>
        <w:rPr>
          <w:rFonts w:ascii="Times New Roman" w:hAnsi="Times New Roman" w:cs="Times New Roman"/>
          <w:sz w:val="20"/>
          <w:szCs w:val="20"/>
          <w:lang w:val="en-US"/>
        </w:rPr>
      </w:pPr>
    </w:p>
    <w:p w14:paraId="316B1FE1" w14:textId="77777777" w:rsidR="009E633E" w:rsidRPr="009E633E" w:rsidRDefault="009E633E" w:rsidP="009E633E">
      <w:pPr>
        <w:rPr>
          <w:rFonts w:ascii="Times New Roman" w:hAnsi="Times New Roman" w:cs="Times New Roman"/>
          <w:b/>
          <w:sz w:val="20"/>
          <w:szCs w:val="20"/>
          <w:vertAlign w:val="subscript"/>
          <w:lang w:val="en-US"/>
        </w:rPr>
      </w:pPr>
      <w:r w:rsidRPr="009E633E">
        <w:rPr>
          <w:rFonts w:ascii="Times New Roman" w:hAnsi="Times New Roman" w:cs="Times New Roman"/>
          <w:b/>
          <w:sz w:val="20"/>
          <w:szCs w:val="20"/>
          <w:vertAlign w:val="subscript"/>
          <w:lang w:val="en-US"/>
        </w:rPr>
        <w:br w:type="page"/>
      </w:r>
    </w:p>
    <w:p w14:paraId="3A19BB6D" w14:textId="42A99288" w:rsidR="00A54F9B" w:rsidRPr="00A8061A" w:rsidRDefault="00A54F9B" w:rsidP="00A54F9B">
      <w:pPr>
        <w:jc w:val="both"/>
        <w:rPr>
          <w:rFonts w:ascii="Times New Roman" w:hAnsi="Times New Roman" w:cs="Times New Roman"/>
          <w:i/>
          <w:sz w:val="20"/>
          <w:szCs w:val="20"/>
          <w:lang w:val="en-US"/>
        </w:rPr>
      </w:pPr>
      <w:r w:rsidRPr="00A8061A">
        <w:rPr>
          <w:rFonts w:ascii="Times New Roman" w:hAnsi="Times New Roman" w:cs="Times New Roman"/>
          <w:i/>
          <w:sz w:val="20"/>
          <w:szCs w:val="20"/>
          <w:lang w:val="en-US"/>
        </w:rPr>
        <w:lastRenderedPageBreak/>
        <w:t xml:space="preserve">A.2. Optical </w:t>
      </w:r>
      <w:r w:rsidR="00A46D20" w:rsidRPr="00A8061A">
        <w:rPr>
          <w:rFonts w:ascii="Times New Roman" w:hAnsi="Times New Roman" w:cs="Times New Roman"/>
          <w:i/>
          <w:sz w:val="20"/>
          <w:szCs w:val="20"/>
          <w:lang w:val="en-US"/>
        </w:rPr>
        <w:t>a</w:t>
      </w:r>
      <w:r w:rsidRPr="00A8061A">
        <w:rPr>
          <w:rFonts w:ascii="Times New Roman" w:hAnsi="Times New Roman" w:cs="Times New Roman"/>
          <w:i/>
          <w:sz w:val="20"/>
          <w:szCs w:val="20"/>
          <w:lang w:val="en-US"/>
        </w:rPr>
        <w:t>nalysis of pSEI</w:t>
      </w:r>
    </w:p>
    <w:p w14:paraId="7EFC8F7D" w14:textId="5869BF1F" w:rsidR="00A54F9B" w:rsidRPr="00A8061A" w:rsidRDefault="00B21853" w:rsidP="009E633E">
      <w:pPr>
        <w:jc w:val="both"/>
        <w:rPr>
          <w:rFonts w:ascii="Times New Roman" w:hAnsi="Times New Roman" w:cs="Times New Roman"/>
          <w:i/>
          <w:sz w:val="20"/>
          <w:szCs w:val="20"/>
          <w:lang w:val="en-US"/>
        </w:rPr>
      </w:pPr>
      <w:r w:rsidRPr="00A8061A">
        <w:rPr>
          <w:rFonts w:ascii="Times New Roman" w:hAnsi="Times New Roman" w:cs="Times New Roman"/>
          <w:i/>
          <w:noProof/>
          <w:sz w:val="20"/>
          <w:szCs w:val="20"/>
          <w:lang w:eastAsia="de-DE"/>
        </w:rPr>
        <w:drawing>
          <wp:inline distT="0" distB="0" distL="0" distR="0" wp14:anchorId="595922AB" wp14:editId="016238E0">
            <wp:extent cx="5760720" cy="4323263"/>
            <wp:effectExtent l="0" t="0" r="0" b="1270"/>
            <wp:docPr id="6" name="Grafik 6" descr="M:\Gruppen\Flüssigelektrolyte\_PROJECTS\LILLINT\Paper\Pretreatment-Method-Paper\Figures\SI_cryo FIB_rev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Gruppen\Flüssigelektrolyte\_PROJECTS\LILLINT\Paper\Pretreatment-Method-Paper\Figures\SI_cryo FIB_rev_HR.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3263"/>
                    </a:xfrm>
                    <a:prstGeom prst="rect">
                      <a:avLst/>
                    </a:prstGeom>
                    <a:noFill/>
                    <a:ln>
                      <a:noFill/>
                    </a:ln>
                  </pic:spPr>
                </pic:pic>
              </a:graphicData>
            </a:graphic>
          </wp:inline>
        </w:drawing>
      </w:r>
    </w:p>
    <w:p w14:paraId="6115B9CF" w14:textId="50C3B1E6" w:rsidR="00582AFE" w:rsidRPr="00A8061A" w:rsidRDefault="00582AFE" w:rsidP="009E633E">
      <w:pPr>
        <w:jc w:val="both"/>
        <w:rPr>
          <w:rFonts w:ascii="Times New Roman" w:hAnsi="Times New Roman" w:cs="Times New Roman"/>
          <w:sz w:val="16"/>
          <w:szCs w:val="16"/>
          <w:lang w:val="en-US"/>
        </w:rPr>
      </w:pPr>
      <w:r w:rsidRPr="00A8061A">
        <w:rPr>
          <w:rFonts w:ascii="Times New Roman" w:hAnsi="Times New Roman" w:cs="Times New Roman"/>
          <w:sz w:val="16"/>
          <w:szCs w:val="16"/>
          <w:lang w:val="en-US"/>
        </w:rPr>
        <w:t xml:space="preserve">Fig. A.2.1. </w:t>
      </w:r>
      <w:r w:rsidRPr="00A8061A">
        <w:rPr>
          <w:rFonts w:ascii="Times New Roman" w:hAnsi="Times New Roman" w:cs="Times New Roman"/>
          <w:i/>
          <w:sz w:val="16"/>
          <w:szCs w:val="16"/>
          <w:lang w:val="en-US"/>
        </w:rPr>
        <w:t>Cryo</w:t>
      </w:r>
      <w:r w:rsidRPr="00A8061A">
        <w:rPr>
          <w:rFonts w:ascii="Times New Roman" w:hAnsi="Times New Roman" w:cs="Times New Roman"/>
          <w:sz w:val="16"/>
          <w:szCs w:val="16"/>
          <w:lang w:val="en-US"/>
        </w:rPr>
        <w:t xml:space="preserve"> FIB cross section SEM of pLi (a) BE@Li (b), AE-VC@Li (c) and AE</w:t>
      </w:r>
      <w:r w:rsidRPr="00A8061A">
        <w:rPr>
          <w:rFonts w:ascii="Times New Roman" w:hAnsi="Times New Roman" w:cs="Times New Roman"/>
          <w:sz w:val="16"/>
          <w:szCs w:val="16"/>
          <w:lang w:val="en-US"/>
        </w:rPr>
        <w:noBreakHyphen/>
        <w:t>FEC@Li (d).</w:t>
      </w:r>
    </w:p>
    <w:p w14:paraId="3C2FC7EF" w14:textId="77777777" w:rsidR="00582AFE" w:rsidRPr="00A8061A" w:rsidRDefault="00582AFE" w:rsidP="009E633E">
      <w:pPr>
        <w:jc w:val="both"/>
        <w:rPr>
          <w:rFonts w:ascii="Times New Roman" w:hAnsi="Times New Roman" w:cs="Times New Roman"/>
          <w:i/>
          <w:sz w:val="16"/>
          <w:szCs w:val="16"/>
          <w:lang w:val="en-US"/>
        </w:rPr>
      </w:pPr>
    </w:p>
    <w:p w14:paraId="7EDA6F1D" w14:textId="56E08935" w:rsidR="00A54F9B" w:rsidRPr="00A8061A" w:rsidRDefault="00A54F9B" w:rsidP="009E633E">
      <w:pPr>
        <w:jc w:val="both"/>
        <w:rPr>
          <w:rFonts w:ascii="Times New Roman" w:hAnsi="Times New Roman" w:cs="Times New Roman"/>
          <w:i/>
          <w:sz w:val="20"/>
          <w:szCs w:val="20"/>
          <w:lang w:val="en-US"/>
        </w:rPr>
      </w:pPr>
      <w:r w:rsidRPr="00A8061A">
        <w:rPr>
          <w:rFonts w:ascii="Times New Roman" w:hAnsi="Times New Roman" w:cs="Times New Roman"/>
          <w:i/>
          <w:sz w:val="20"/>
          <w:szCs w:val="20"/>
          <w:lang w:val="en-US"/>
        </w:rPr>
        <w:t>A.3. XPS Analysis of atomic distribution of pSEI</w:t>
      </w:r>
    </w:p>
    <w:p w14:paraId="2C773079" w14:textId="64B34089" w:rsidR="00A54F9B" w:rsidRPr="00A8061A" w:rsidRDefault="00A54F9B" w:rsidP="00A54F9B">
      <w:pPr>
        <w:jc w:val="both"/>
        <w:rPr>
          <w:rFonts w:ascii="Times New Roman" w:hAnsi="Times New Roman" w:cs="Times New Roman"/>
          <w:sz w:val="16"/>
          <w:szCs w:val="20"/>
          <w:lang w:val="en-US"/>
        </w:rPr>
      </w:pPr>
      <w:r w:rsidRPr="00A8061A">
        <w:rPr>
          <w:rFonts w:ascii="Times New Roman" w:hAnsi="Times New Roman" w:cs="Times New Roman"/>
          <w:sz w:val="16"/>
          <w:szCs w:val="20"/>
          <w:lang w:val="en-US"/>
        </w:rPr>
        <w:t>Table A.3.1. Average atomic distribution</w:t>
      </w:r>
      <w:r w:rsidR="00A46D20" w:rsidRPr="00A8061A">
        <w:rPr>
          <w:rFonts w:ascii="Times New Roman" w:hAnsi="Times New Roman" w:cs="Times New Roman"/>
          <w:sz w:val="16"/>
          <w:szCs w:val="20"/>
          <w:lang w:val="en-US"/>
        </w:rPr>
        <w:t>,</w:t>
      </w:r>
      <w:r w:rsidRPr="00A8061A">
        <w:rPr>
          <w:rFonts w:ascii="Times New Roman" w:hAnsi="Times New Roman" w:cs="Times New Roman"/>
          <w:sz w:val="16"/>
          <w:szCs w:val="20"/>
          <w:lang w:val="en-US"/>
        </w:rPr>
        <w:t xml:space="preserve"> </w:t>
      </w:r>
      <w:r w:rsidR="00A46D20" w:rsidRPr="00A8061A">
        <w:rPr>
          <w:rFonts w:ascii="Times New Roman" w:hAnsi="Times New Roman" w:cs="Times New Roman"/>
          <w:sz w:val="16"/>
          <w:szCs w:val="20"/>
          <w:lang w:val="en-US"/>
        </w:rPr>
        <w:t>d</w:t>
      </w:r>
      <w:r w:rsidRPr="00A8061A">
        <w:rPr>
          <w:rFonts w:ascii="Times New Roman" w:hAnsi="Times New Roman" w:cs="Times New Roman"/>
          <w:sz w:val="16"/>
          <w:szCs w:val="20"/>
          <w:lang w:val="en-US"/>
        </w:rPr>
        <w:t>ata obtained for the investigated pSEIs.</w:t>
      </w:r>
    </w:p>
    <w:tbl>
      <w:tblPr>
        <w:tblW w:w="9100" w:type="dxa"/>
        <w:tblCellMar>
          <w:left w:w="0" w:type="dxa"/>
          <w:right w:w="0" w:type="dxa"/>
        </w:tblCellMar>
        <w:tblLook w:val="04A0" w:firstRow="1" w:lastRow="0" w:firstColumn="1" w:lastColumn="0" w:noHBand="0" w:noVBand="1"/>
      </w:tblPr>
      <w:tblGrid>
        <w:gridCol w:w="1276"/>
        <w:gridCol w:w="1843"/>
        <w:gridCol w:w="1981"/>
        <w:gridCol w:w="1988"/>
        <w:gridCol w:w="2012"/>
      </w:tblGrid>
      <w:tr w:rsidR="001B6E69" w:rsidRPr="00A8061A" w14:paraId="20CACD33"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E0CB5E" w14:textId="77777777" w:rsidR="001B6E69" w:rsidRPr="00A8061A" w:rsidRDefault="001B6E69" w:rsidP="001B6E69">
            <w:pPr>
              <w:rPr>
                <w:rFonts w:ascii="Times New Roman" w:hAnsi="Times New Roman" w:cs="Times New Roman"/>
                <w:b/>
                <w:color w:val="000000"/>
                <w:sz w:val="20"/>
                <w:szCs w:val="20"/>
                <w:lang w:val="en-US"/>
              </w:rPr>
            </w:pPr>
          </w:p>
        </w:tc>
        <w:tc>
          <w:tcPr>
            <w:tcW w:w="382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E69CB4" w14:textId="77777777" w:rsidR="001B6E69" w:rsidRPr="00A8061A" w:rsidRDefault="001B6E69" w:rsidP="001B6E69">
            <w:pPr>
              <w:jc w:val="cente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O 1s</w:t>
            </w:r>
          </w:p>
        </w:tc>
        <w:tc>
          <w:tcPr>
            <w:tcW w:w="4000" w:type="dxa"/>
            <w:gridSpan w:val="2"/>
            <w:tcBorders>
              <w:top w:val="nil"/>
              <w:left w:val="nil"/>
              <w:bottom w:val="single" w:sz="4" w:space="0" w:color="auto"/>
            </w:tcBorders>
            <w:shd w:val="clear" w:color="auto" w:fill="auto"/>
            <w:noWrap/>
            <w:tcMar>
              <w:top w:w="15" w:type="dxa"/>
              <w:left w:w="15" w:type="dxa"/>
              <w:bottom w:w="0" w:type="dxa"/>
              <w:right w:w="15" w:type="dxa"/>
            </w:tcMar>
            <w:vAlign w:val="center"/>
            <w:hideMark/>
          </w:tcPr>
          <w:p w14:paraId="74169122" w14:textId="77777777" w:rsidR="001B6E69" w:rsidRPr="00A8061A" w:rsidRDefault="001B6E69" w:rsidP="001B6E69">
            <w:pPr>
              <w:jc w:val="cente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C 1s</w:t>
            </w:r>
          </w:p>
        </w:tc>
      </w:tr>
      <w:tr w:rsidR="001B6E69" w:rsidRPr="00A8061A" w14:paraId="3D9485D9"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2EDD25" w14:textId="77777777" w:rsidR="001B6E69" w:rsidRPr="00A8061A" w:rsidRDefault="001B6E69"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Electrode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E69015" w14:textId="5A3F5C0B" w:rsidR="001B6E69" w:rsidRPr="00A8061A" w:rsidRDefault="000B4561"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A</w:t>
            </w:r>
            <w:r w:rsidR="001B6E69" w:rsidRPr="00A8061A">
              <w:rPr>
                <w:rFonts w:ascii="Times New Roman" w:hAnsi="Times New Roman" w:cs="Times New Roman"/>
                <w:b/>
                <w:color w:val="000000"/>
                <w:sz w:val="20"/>
                <w:szCs w:val="20"/>
                <w:lang w:val="en-US"/>
              </w:rPr>
              <w:t>tom percent [%]</w:t>
            </w:r>
          </w:p>
        </w:tc>
        <w:tc>
          <w:tcPr>
            <w:tcW w:w="19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F3265F3" w14:textId="4DFFCCB4" w:rsidR="001B6E69" w:rsidRPr="00A8061A" w:rsidRDefault="00282BCF"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S</w:t>
            </w:r>
            <w:r w:rsidR="001B6E69" w:rsidRPr="00A8061A">
              <w:rPr>
                <w:rFonts w:ascii="Times New Roman" w:hAnsi="Times New Roman" w:cs="Times New Roman"/>
                <w:b/>
                <w:color w:val="000000"/>
                <w:sz w:val="20"/>
                <w:szCs w:val="20"/>
                <w:lang w:val="en-US"/>
              </w:rPr>
              <w:t>tandard deviation [%]</w:t>
            </w:r>
          </w:p>
        </w:tc>
        <w:tc>
          <w:tcPr>
            <w:tcW w:w="19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7DD977" w14:textId="5AB0FFA0" w:rsidR="001B6E69" w:rsidRPr="00A8061A" w:rsidRDefault="001B6E69"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atom percent [%]</w:t>
            </w:r>
          </w:p>
        </w:tc>
        <w:tc>
          <w:tcPr>
            <w:tcW w:w="201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60CA14A" w14:textId="6CCD0711" w:rsidR="001B6E69" w:rsidRPr="00A8061A" w:rsidRDefault="00282BCF"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S</w:t>
            </w:r>
            <w:r w:rsidR="001B6E69" w:rsidRPr="00A8061A">
              <w:rPr>
                <w:rFonts w:ascii="Times New Roman" w:hAnsi="Times New Roman" w:cs="Times New Roman"/>
                <w:b/>
                <w:color w:val="000000"/>
                <w:sz w:val="20"/>
                <w:szCs w:val="20"/>
                <w:lang w:val="en-US"/>
              </w:rPr>
              <w:t>tandard deviation [%]</w:t>
            </w:r>
          </w:p>
        </w:tc>
      </w:tr>
      <w:tr w:rsidR="001B6E69" w:rsidRPr="00A8061A" w14:paraId="623B94D4"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DFBA3D"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pLi</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F878EB"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34.57</w:t>
            </w:r>
          </w:p>
        </w:tc>
        <w:tc>
          <w:tcPr>
            <w:tcW w:w="19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43C981"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1.27</w:t>
            </w:r>
          </w:p>
        </w:tc>
        <w:tc>
          <w:tcPr>
            <w:tcW w:w="19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9636B3"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39.36</w:t>
            </w:r>
          </w:p>
        </w:tc>
        <w:tc>
          <w:tcPr>
            <w:tcW w:w="201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DBD4CE3"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1.54</w:t>
            </w:r>
          </w:p>
        </w:tc>
      </w:tr>
      <w:tr w:rsidR="001B6E69" w:rsidRPr="00A8061A" w14:paraId="449F5372"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C9664E"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BE@Li</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667749"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20.95</w:t>
            </w:r>
          </w:p>
        </w:tc>
        <w:tc>
          <w:tcPr>
            <w:tcW w:w="19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CFAE0CC"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1.47</w:t>
            </w:r>
          </w:p>
        </w:tc>
        <w:tc>
          <w:tcPr>
            <w:tcW w:w="19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8EAB35"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37.66</w:t>
            </w:r>
          </w:p>
        </w:tc>
        <w:tc>
          <w:tcPr>
            <w:tcW w:w="201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F4AD378"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4.78</w:t>
            </w:r>
          </w:p>
        </w:tc>
      </w:tr>
      <w:tr w:rsidR="001B6E69" w:rsidRPr="00A8061A" w14:paraId="10D4CA9A"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5126BD"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AE-VC@Li</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47F0D5"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18.62</w:t>
            </w:r>
          </w:p>
        </w:tc>
        <w:tc>
          <w:tcPr>
            <w:tcW w:w="198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EF02D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3.22</w:t>
            </w:r>
          </w:p>
        </w:tc>
        <w:tc>
          <w:tcPr>
            <w:tcW w:w="198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4D5F7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31.84</w:t>
            </w:r>
          </w:p>
        </w:tc>
        <w:tc>
          <w:tcPr>
            <w:tcW w:w="201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454B5F2"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4.25</w:t>
            </w:r>
          </w:p>
        </w:tc>
      </w:tr>
      <w:tr w:rsidR="001B6E69" w:rsidRPr="00A8061A" w14:paraId="7710AF8B" w14:textId="77777777" w:rsidTr="001B6E69">
        <w:trPr>
          <w:trHeight w:hRule="exact" w:val="284"/>
        </w:trPr>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E6D2693"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AE-FEC@Li</w:t>
            </w:r>
          </w:p>
        </w:tc>
        <w:tc>
          <w:tcPr>
            <w:tcW w:w="1843"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4C6DAAD2"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13.78</w:t>
            </w:r>
          </w:p>
        </w:tc>
        <w:tc>
          <w:tcPr>
            <w:tcW w:w="1981"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263F16D4"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3.54</w:t>
            </w:r>
          </w:p>
        </w:tc>
        <w:tc>
          <w:tcPr>
            <w:tcW w:w="1988"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D5B8301"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25.50</w:t>
            </w:r>
          </w:p>
        </w:tc>
        <w:tc>
          <w:tcPr>
            <w:tcW w:w="2012" w:type="dxa"/>
            <w:tcBorders>
              <w:top w:val="nil"/>
              <w:left w:val="nil"/>
              <w:bottom w:val="nil"/>
              <w:right w:val="nil"/>
            </w:tcBorders>
            <w:shd w:val="clear" w:color="auto" w:fill="auto"/>
            <w:noWrap/>
            <w:tcMar>
              <w:top w:w="15" w:type="dxa"/>
              <w:left w:w="15" w:type="dxa"/>
              <w:bottom w:w="0" w:type="dxa"/>
              <w:right w:w="15" w:type="dxa"/>
            </w:tcMar>
            <w:vAlign w:val="center"/>
            <w:hideMark/>
          </w:tcPr>
          <w:p w14:paraId="1ABD9BD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5.44</w:t>
            </w:r>
          </w:p>
        </w:tc>
      </w:tr>
      <w:tr w:rsidR="001B6E69" w:rsidRPr="00A8061A" w14:paraId="2F935946" w14:textId="77777777" w:rsidTr="001B6E69">
        <w:trPr>
          <w:trHeight w:hRule="exact" w:val="284"/>
        </w:trPr>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562B4DEC" w14:textId="77777777" w:rsidR="001B6E69" w:rsidRPr="00A8061A" w:rsidRDefault="001B6E69" w:rsidP="001B6E69">
            <w:pPr>
              <w:rPr>
                <w:rFonts w:ascii="Times New Roman" w:hAnsi="Times New Roman" w:cs="Times New Roman"/>
                <w:color w:val="000000"/>
                <w:sz w:val="20"/>
                <w:szCs w:val="20"/>
                <w:lang w:val="en-US"/>
              </w:rPr>
            </w:pPr>
          </w:p>
        </w:tc>
        <w:tc>
          <w:tcPr>
            <w:tcW w:w="1843" w:type="dxa"/>
            <w:tcBorders>
              <w:top w:val="nil"/>
              <w:left w:val="nil"/>
              <w:bottom w:val="nil"/>
              <w:right w:val="nil"/>
            </w:tcBorders>
            <w:shd w:val="clear" w:color="auto" w:fill="auto"/>
            <w:noWrap/>
            <w:tcMar>
              <w:top w:w="15" w:type="dxa"/>
              <w:left w:w="15" w:type="dxa"/>
              <w:bottom w:w="0" w:type="dxa"/>
              <w:right w:w="15" w:type="dxa"/>
            </w:tcMar>
            <w:vAlign w:val="center"/>
            <w:hideMark/>
          </w:tcPr>
          <w:p w14:paraId="56593C43" w14:textId="77777777" w:rsidR="001B6E69" w:rsidRPr="00A8061A" w:rsidRDefault="001B6E69" w:rsidP="001B6E69">
            <w:pPr>
              <w:rPr>
                <w:rFonts w:ascii="Times New Roman" w:hAnsi="Times New Roman" w:cs="Times New Roman"/>
                <w:sz w:val="20"/>
                <w:szCs w:val="20"/>
                <w:lang w:val="en-US"/>
              </w:rPr>
            </w:pPr>
          </w:p>
        </w:tc>
        <w:tc>
          <w:tcPr>
            <w:tcW w:w="1981" w:type="dxa"/>
            <w:tcBorders>
              <w:top w:val="nil"/>
              <w:left w:val="nil"/>
              <w:bottom w:val="nil"/>
              <w:right w:val="nil"/>
            </w:tcBorders>
            <w:shd w:val="clear" w:color="auto" w:fill="auto"/>
            <w:noWrap/>
            <w:tcMar>
              <w:top w:w="15" w:type="dxa"/>
              <w:left w:w="15" w:type="dxa"/>
              <w:bottom w:w="0" w:type="dxa"/>
              <w:right w:w="15" w:type="dxa"/>
            </w:tcMar>
            <w:vAlign w:val="center"/>
            <w:hideMark/>
          </w:tcPr>
          <w:p w14:paraId="3869B4E6" w14:textId="77777777" w:rsidR="001B6E69" w:rsidRPr="00A8061A" w:rsidRDefault="001B6E69" w:rsidP="001B6E69">
            <w:pPr>
              <w:rPr>
                <w:rFonts w:ascii="Times New Roman" w:hAnsi="Times New Roman" w:cs="Times New Roman"/>
                <w:sz w:val="20"/>
                <w:szCs w:val="20"/>
                <w:lang w:val="en-US"/>
              </w:rPr>
            </w:pPr>
          </w:p>
        </w:tc>
        <w:tc>
          <w:tcPr>
            <w:tcW w:w="1988" w:type="dxa"/>
            <w:tcBorders>
              <w:top w:val="nil"/>
              <w:left w:val="nil"/>
              <w:right w:val="nil"/>
            </w:tcBorders>
            <w:shd w:val="clear" w:color="auto" w:fill="auto"/>
            <w:noWrap/>
            <w:tcMar>
              <w:top w:w="15" w:type="dxa"/>
              <w:left w:w="15" w:type="dxa"/>
              <w:bottom w:w="0" w:type="dxa"/>
              <w:right w:w="15" w:type="dxa"/>
            </w:tcMar>
            <w:vAlign w:val="center"/>
            <w:hideMark/>
          </w:tcPr>
          <w:p w14:paraId="4A4DBE3C" w14:textId="77777777" w:rsidR="001B6E69" w:rsidRPr="00A8061A" w:rsidRDefault="001B6E69" w:rsidP="001B6E69">
            <w:pPr>
              <w:rPr>
                <w:rFonts w:ascii="Times New Roman" w:hAnsi="Times New Roman" w:cs="Times New Roman"/>
                <w:sz w:val="20"/>
                <w:szCs w:val="20"/>
                <w:lang w:val="en-US"/>
              </w:rPr>
            </w:pPr>
          </w:p>
        </w:tc>
        <w:tc>
          <w:tcPr>
            <w:tcW w:w="2012" w:type="dxa"/>
            <w:tcBorders>
              <w:top w:val="nil"/>
              <w:left w:val="nil"/>
              <w:right w:val="nil"/>
            </w:tcBorders>
            <w:shd w:val="clear" w:color="auto" w:fill="auto"/>
            <w:noWrap/>
            <w:tcMar>
              <w:top w:w="15" w:type="dxa"/>
              <w:left w:w="15" w:type="dxa"/>
              <w:bottom w:w="0" w:type="dxa"/>
              <w:right w:w="15" w:type="dxa"/>
            </w:tcMar>
            <w:vAlign w:val="center"/>
            <w:hideMark/>
          </w:tcPr>
          <w:p w14:paraId="2387E61B" w14:textId="77777777" w:rsidR="001B6E69" w:rsidRPr="00A8061A" w:rsidRDefault="001B6E69" w:rsidP="001B6E69">
            <w:pPr>
              <w:rPr>
                <w:rFonts w:ascii="Times New Roman" w:hAnsi="Times New Roman" w:cs="Times New Roman"/>
                <w:sz w:val="20"/>
                <w:szCs w:val="20"/>
                <w:lang w:val="en-US"/>
              </w:rPr>
            </w:pPr>
          </w:p>
        </w:tc>
      </w:tr>
      <w:tr w:rsidR="001B6E69" w:rsidRPr="00A8061A" w14:paraId="05D56157"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D4A680" w14:textId="616CADF2" w:rsidR="001B6E69" w:rsidRPr="00A8061A" w:rsidRDefault="001B6E69" w:rsidP="001B6E69">
            <w:pPr>
              <w:rPr>
                <w:rFonts w:ascii="Times New Roman" w:hAnsi="Times New Roman" w:cs="Times New Roman"/>
                <w:b/>
                <w:color w:val="000000"/>
                <w:sz w:val="20"/>
                <w:szCs w:val="20"/>
                <w:lang w:val="en-US"/>
              </w:rPr>
            </w:pPr>
          </w:p>
        </w:tc>
        <w:tc>
          <w:tcPr>
            <w:tcW w:w="382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044EB2" w14:textId="77777777" w:rsidR="001B6E69" w:rsidRPr="00A8061A" w:rsidRDefault="001B6E69" w:rsidP="001B6E69">
            <w:pPr>
              <w:jc w:val="cente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F 1s</w:t>
            </w:r>
          </w:p>
        </w:tc>
        <w:tc>
          <w:tcPr>
            <w:tcW w:w="0" w:type="auto"/>
            <w:gridSpan w:val="2"/>
            <w:tcBorders>
              <w:top w:val="nil"/>
              <w:left w:val="single" w:sz="4" w:space="0" w:color="auto"/>
              <w:bottom w:val="single" w:sz="4" w:space="0" w:color="auto"/>
            </w:tcBorders>
            <w:shd w:val="clear" w:color="auto" w:fill="auto"/>
            <w:noWrap/>
            <w:tcMar>
              <w:top w:w="15" w:type="dxa"/>
              <w:left w:w="15" w:type="dxa"/>
              <w:bottom w:w="0" w:type="dxa"/>
              <w:right w:w="15" w:type="dxa"/>
            </w:tcMar>
            <w:vAlign w:val="center"/>
            <w:hideMark/>
          </w:tcPr>
          <w:p w14:paraId="074BE679" w14:textId="77777777" w:rsidR="001B6E69" w:rsidRPr="00A8061A" w:rsidRDefault="001B6E69" w:rsidP="001B6E69">
            <w:pPr>
              <w:jc w:val="cente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P 2p</w:t>
            </w:r>
          </w:p>
        </w:tc>
      </w:tr>
      <w:tr w:rsidR="001B6E69" w:rsidRPr="00A8061A" w14:paraId="44DCC9A2"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03EE9D" w14:textId="77777777" w:rsidR="001B6E69" w:rsidRPr="00A8061A" w:rsidRDefault="001B6E69"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Electrode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E5FD17" w14:textId="630E551B" w:rsidR="001B6E69" w:rsidRPr="00A8061A" w:rsidRDefault="000B4561"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A</w:t>
            </w:r>
            <w:r w:rsidR="001B6E69" w:rsidRPr="00A8061A">
              <w:rPr>
                <w:rFonts w:ascii="Times New Roman" w:hAnsi="Times New Roman" w:cs="Times New Roman"/>
                <w:b/>
                <w:color w:val="000000"/>
                <w:sz w:val="20"/>
                <w:szCs w:val="20"/>
                <w:lang w:val="en-US"/>
              </w:rPr>
              <w:t>tom percent [%]</w:t>
            </w:r>
          </w:p>
        </w:tc>
        <w:tc>
          <w:tcPr>
            <w:tcW w:w="198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52B1F16" w14:textId="517A842F" w:rsidR="001B6E69" w:rsidRPr="00A8061A" w:rsidRDefault="00282BCF"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S</w:t>
            </w:r>
            <w:r w:rsidR="001B6E69" w:rsidRPr="00A8061A">
              <w:rPr>
                <w:rFonts w:ascii="Times New Roman" w:hAnsi="Times New Roman" w:cs="Times New Roman"/>
                <w:b/>
                <w:color w:val="000000"/>
                <w:sz w:val="20"/>
                <w:szCs w:val="20"/>
                <w:lang w:val="en-US"/>
              </w:rPr>
              <w:t>tandard deviation [%]</w:t>
            </w:r>
          </w:p>
        </w:tc>
        <w:tc>
          <w:tcPr>
            <w:tcW w:w="198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5496FD" w14:textId="3B311E7B" w:rsidR="001B6E69" w:rsidRPr="00A8061A" w:rsidRDefault="000B4561"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A</w:t>
            </w:r>
            <w:r w:rsidR="001B6E69" w:rsidRPr="00A8061A">
              <w:rPr>
                <w:rFonts w:ascii="Times New Roman" w:hAnsi="Times New Roman" w:cs="Times New Roman"/>
                <w:b/>
                <w:color w:val="000000"/>
                <w:sz w:val="20"/>
                <w:szCs w:val="20"/>
                <w:lang w:val="en-US"/>
              </w:rPr>
              <w:t>tom percent [%]</w:t>
            </w:r>
          </w:p>
        </w:tc>
        <w:tc>
          <w:tcPr>
            <w:tcW w:w="201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2313576" w14:textId="431ED104" w:rsidR="001B6E69" w:rsidRPr="00A8061A" w:rsidRDefault="00282BCF"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S</w:t>
            </w:r>
            <w:r w:rsidR="001B6E69" w:rsidRPr="00A8061A">
              <w:rPr>
                <w:rFonts w:ascii="Times New Roman" w:hAnsi="Times New Roman" w:cs="Times New Roman"/>
                <w:b/>
                <w:color w:val="000000"/>
                <w:sz w:val="20"/>
                <w:szCs w:val="20"/>
                <w:lang w:val="en-US"/>
              </w:rPr>
              <w:t>tandard deviation [%]</w:t>
            </w:r>
          </w:p>
        </w:tc>
      </w:tr>
      <w:tr w:rsidR="001B6E69" w:rsidRPr="00A8061A" w14:paraId="56F1D6FB"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30168E"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pLi</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DE231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2.59</w:t>
            </w:r>
          </w:p>
        </w:tc>
        <w:tc>
          <w:tcPr>
            <w:tcW w:w="198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4F543EE"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0.59</w:t>
            </w:r>
          </w:p>
        </w:tc>
        <w:tc>
          <w:tcPr>
            <w:tcW w:w="198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3BF71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0.00</w:t>
            </w:r>
          </w:p>
        </w:tc>
        <w:tc>
          <w:tcPr>
            <w:tcW w:w="201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7836622"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0.00</w:t>
            </w:r>
          </w:p>
        </w:tc>
      </w:tr>
      <w:tr w:rsidR="001B6E69" w:rsidRPr="00A8061A" w14:paraId="5D0CBBCE"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D1309B"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BE@Li</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42607B"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16.65</w:t>
            </w:r>
          </w:p>
        </w:tc>
        <w:tc>
          <w:tcPr>
            <w:tcW w:w="198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77C3508"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2.23</w:t>
            </w:r>
          </w:p>
        </w:tc>
        <w:tc>
          <w:tcPr>
            <w:tcW w:w="198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0B78E7"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3.11</w:t>
            </w:r>
          </w:p>
        </w:tc>
        <w:tc>
          <w:tcPr>
            <w:tcW w:w="201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A2A1FA5"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0.66</w:t>
            </w:r>
          </w:p>
        </w:tc>
      </w:tr>
      <w:tr w:rsidR="001B6E69" w:rsidRPr="00A8061A" w14:paraId="11532A1F"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8DB6E3"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AE-VC@Li</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ADEF43"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20.95</w:t>
            </w:r>
          </w:p>
        </w:tc>
        <w:tc>
          <w:tcPr>
            <w:tcW w:w="198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2C0E482"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3.09</w:t>
            </w:r>
          </w:p>
        </w:tc>
        <w:tc>
          <w:tcPr>
            <w:tcW w:w="198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0B4323"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2.88</w:t>
            </w:r>
          </w:p>
        </w:tc>
        <w:tc>
          <w:tcPr>
            <w:tcW w:w="201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41B95E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0.55</w:t>
            </w:r>
          </w:p>
        </w:tc>
      </w:tr>
      <w:tr w:rsidR="001B6E69" w:rsidRPr="00A8061A" w14:paraId="270BBED7" w14:textId="77777777" w:rsidTr="001B6E69">
        <w:trPr>
          <w:trHeight w:hRule="exact" w:val="284"/>
        </w:trPr>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E83A142"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AE-FEC@Li</w:t>
            </w:r>
          </w:p>
        </w:tc>
        <w:tc>
          <w:tcPr>
            <w:tcW w:w="1843"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5ACE2B14"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25.00</w:t>
            </w:r>
          </w:p>
        </w:tc>
        <w:tc>
          <w:tcPr>
            <w:tcW w:w="1981" w:type="dxa"/>
            <w:tcBorders>
              <w:top w:val="nil"/>
              <w:left w:val="nil"/>
              <w:bottom w:val="nil"/>
              <w:right w:val="nil"/>
            </w:tcBorders>
            <w:shd w:val="clear" w:color="auto" w:fill="auto"/>
            <w:noWrap/>
            <w:tcMar>
              <w:top w:w="15" w:type="dxa"/>
              <w:left w:w="15" w:type="dxa"/>
              <w:bottom w:w="0" w:type="dxa"/>
              <w:right w:w="15" w:type="dxa"/>
            </w:tcMar>
            <w:vAlign w:val="center"/>
            <w:hideMark/>
          </w:tcPr>
          <w:p w14:paraId="325790C2"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5.90</w:t>
            </w:r>
          </w:p>
        </w:tc>
        <w:tc>
          <w:tcPr>
            <w:tcW w:w="1988"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14:paraId="64592AEE"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1.61</w:t>
            </w:r>
          </w:p>
        </w:tc>
        <w:tc>
          <w:tcPr>
            <w:tcW w:w="2012" w:type="dxa"/>
            <w:tcBorders>
              <w:top w:val="nil"/>
              <w:left w:val="nil"/>
              <w:bottom w:val="nil"/>
              <w:right w:val="nil"/>
            </w:tcBorders>
            <w:shd w:val="clear" w:color="auto" w:fill="auto"/>
            <w:noWrap/>
            <w:tcMar>
              <w:top w:w="15" w:type="dxa"/>
              <w:left w:w="15" w:type="dxa"/>
              <w:bottom w:w="0" w:type="dxa"/>
              <w:right w:w="15" w:type="dxa"/>
            </w:tcMar>
            <w:vAlign w:val="center"/>
            <w:hideMark/>
          </w:tcPr>
          <w:p w14:paraId="4BD0DF1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0.32</w:t>
            </w:r>
          </w:p>
        </w:tc>
      </w:tr>
      <w:tr w:rsidR="001B6E69" w:rsidRPr="00A8061A" w14:paraId="0806CA46" w14:textId="77777777" w:rsidTr="001B6E69">
        <w:trPr>
          <w:trHeight w:hRule="exact" w:val="284"/>
        </w:trPr>
        <w:tc>
          <w:tcPr>
            <w:tcW w:w="1276" w:type="dxa"/>
            <w:tcBorders>
              <w:top w:val="nil"/>
              <w:left w:val="nil"/>
              <w:bottom w:val="nil"/>
              <w:right w:val="nil"/>
            </w:tcBorders>
            <w:shd w:val="clear" w:color="auto" w:fill="auto"/>
            <w:noWrap/>
            <w:tcMar>
              <w:top w:w="15" w:type="dxa"/>
              <w:left w:w="15" w:type="dxa"/>
              <w:bottom w:w="0" w:type="dxa"/>
              <w:right w:w="15" w:type="dxa"/>
            </w:tcMar>
            <w:vAlign w:val="center"/>
            <w:hideMark/>
          </w:tcPr>
          <w:p w14:paraId="08A50225" w14:textId="77777777" w:rsidR="001B6E69" w:rsidRPr="00A8061A" w:rsidRDefault="001B6E69" w:rsidP="001B6E69">
            <w:pPr>
              <w:rPr>
                <w:rFonts w:ascii="Times New Roman" w:hAnsi="Times New Roman" w:cs="Times New Roman"/>
                <w:color w:val="000000"/>
                <w:sz w:val="20"/>
                <w:szCs w:val="20"/>
                <w:lang w:val="en-US"/>
              </w:rPr>
            </w:pPr>
          </w:p>
        </w:tc>
        <w:tc>
          <w:tcPr>
            <w:tcW w:w="1843" w:type="dxa"/>
            <w:tcBorders>
              <w:top w:val="nil"/>
              <w:left w:val="nil"/>
              <w:right w:val="nil"/>
            </w:tcBorders>
            <w:shd w:val="clear" w:color="auto" w:fill="auto"/>
            <w:noWrap/>
            <w:tcMar>
              <w:top w:w="15" w:type="dxa"/>
              <w:left w:w="15" w:type="dxa"/>
              <w:bottom w:w="0" w:type="dxa"/>
              <w:right w:w="15" w:type="dxa"/>
            </w:tcMar>
            <w:vAlign w:val="center"/>
            <w:hideMark/>
          </w:tcPr>
          <w:p w14:paraId="3D4FF638" w14:textId="77777777" w:rsidR="001B6E69" w:rsidRPr="00A8061A" w:rsidRDefault="001B6E69" w:rsidP="001B6E69">
            <w:pPr>
              <w:rPr>
                <w:rFonts w:ascii="Times New Roman" w:hAnsi="Times New Roman" w:cs="Times New Roman"/>
                <w:sz w:val="20"/>
                <w:szCs w:val="20"/>
                <w:lang w:val="en-US"/>
              </w:rPr>
            </w:pPr>
          </w:p>
        </w:tc>
        <w:tc>
          <w:tcPr>
            <w:tcW w:w="1981" w:type="dxa"/>
            <w:tcBorders>
              <w:top w:val="nil"/>
              <w:left w:val="nil"/>
              <w:right w:val="nil"/>
            </w:tcBorders>
            <w:shd w:val="clear" w:color="auto" w:fill="auto"/>
            <w:noWrap/>
            <w:tcMar>
              <w:top w:w="15" w:type="dxa"/>
              <w:left w:w="15" w:type="dxa"/>
              <w:bottom w:w="0" w:type="dxa"/>
              <w:right w:w="15" w:type="dxa"/>
            </w:tcMar>
            <w:vAlign w:val="center"/>
            <w:hideMark/>
          </w:tcPr>
          <w:p w14:paraId="3FA5A5B3" w14:textId="77777777" w:rsidR="001B6E69" w:rsidRPr="00A8061A" w:rsidRDefault="001B6E69" w:rsidP="001B6E69">
            <w:pPr>
              <w:rPr>
                <w:rFonts w:ascii="Times New Roman" w:hAnsi="Times New Roman" w:cs="Times New Roman"/>
                <w:sz w:val="20"/>
                <w:szCs w:val="20"/>
                <w:lang w:val="en-US"/>
              </w:rPr>
            </w:pPr>
          </w:p>
        </w:tc>
        <w:tc>
          <w:tcPr>
            <w:tcW w:w="1988" w:type="dxa"/>
            <w:tcBorders>
              <w:top w:val="nil"/>
              <w:left w:val="nil"/>
              <w:bottom w:val="nil"/>
              <w:right w:val="nil"/>
            </w:tcBorders>
            <w:shd w:val="clear" w:color="auto" w:fill="auto"/>
            <w:noWrap/>
            <w:tcMar>
              <w:top w:w="15" w:type="dxa"/>
              <w:left w:w="15" w:type="dxa"/>
              <w:bottom w:w="0" w:type="dxa"/>
              <w:right w:w="15" w:type="dxa"/>
            </w:tcMar>
            <w:vAlign w:val="center"/>
            <w:hideMark/>
          </w:tcPr>
          <w:p w14:paraId="50D29852" w14:textId="77777777" w:rsidR="001B6E69" w:rsidRPr="00A8061A" w:rsidRDefault="001B6E69" w:rsidP="001B6E69">
            <w:pPr>
              <w:rPr>
                <w:rFonts w:ascii="Times New Roman" w:hAnsi="Times New Roman" w:cs="Times New Roman"/>
                <w:sz w:val="20"/>
                <w:szCs w:val="20"/>
                <w:lang w:val="en-US"/>
              </w:rPr>
            </w:pPr>
          </w:p>
        </w:tc>
        <w:tc>
          <w:tcPr>
            <w:tcW w:w="2012" w:type="dxa"/>
            <w:tcBorders>
              <w:top w:val="nil"/>
              <w:left w:val="nil"/>
              <w:bottom w:val="nil"/>
              <w:right w:val="nil"/>
            </w:tcBorders>
            <w:shd w:val="clear" w:color="auto" w:fill="auto"/>
            <w:noWrap/>
            <w:tcMar>
              <w:top w:w="15" w:type="dxa"/>
              <w:left w:w="15" w:type="dxa"/>
              <w:bottom w:w="0" w:type="dxa"/>
              <w:right w:w="15" w:type="dxa"/>
            </w:tcMar>
            <w:vAlign w:val="center"/>
            <w:hideMark/>
          </w:tcPr>
          <w:p w14:paraId="3A2A68E4" w14:textId="77777777" w:rsidR="001B6E69" w:rsidRPr="00A8061A" w:rsidRDefault="001B6E69" w:rsidP="001B6E69">
            <w:pPr>
              <w:rPr>
                <w:rFonts w:ascii="Times New Roman" w:hAnsi="Times New Roman" w:cs="Times New Roman"/>
                <w:sz w:val="20"/>
                <w:szCs w:val="20"/>
                <w:lang w:val="en-US"/>
              </w:rPr>
            </w:pPr>
          </w:p>
        </w:tc>
      </w:tr>
      <w:tr w:rsidR="001B6E69" w:rsidRPr="00A8061A" w14:paraId="4466A64F"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78A91EF" w14:textId="215A060A" w:rsidR="001B6E69" w:rsidRPr="00A8061A" w:rsidRDefault="001B6E69" w:rsidP="001B6E69">
            <w:pPr>
              <w:jc w:val="center"/>
              <w:rPr>
                <w:rFonts w:ascii="Times New Roman" w:hAnsi="Times New Roman" w:cs="Times New Roman"/>
                <w:b/>
                <w:color w:val="000000"/>
                <w:sz w:val="20"/>
                <w:szCs w:val="20"/>
                <w:lang w:val="en-US"/>
              </w:rPr>
            </w:pPr>
          </w:p>
        </w:tc>
        <w:tc>
          <w:tcPr>
            <w:tcW w:w="3824" w:type="dxa"/>
            <w:gridSpan w:val="2"/>
            <w:tcBorders>
              <w:top w:val="nil"/>
              <w:left w:val="nil"/>
              <w:bottom w:val="single" w:sz="4" w:space="0" w:color="auto"/>
            </w:tcBorders>
            <w:shd w:val="clear" w:color="auto" w:fill="auto"/>
            <w:noWrap/>
            <w:tcMar>
              <w:top w:w="15" w:type="dxa"/>
              <w:left w:w="15" w:type="dxa"/>
              <w:bottom w:w="0" w:type="dxa"/>
              <w:right w:w="15" w:type="dxa"/>
            </w:tcMar>
            <w:vAlign w:val="center"/>
            <w:hideMark/>
          </w:tcPr>
          <w:p w14:paraId="6A0D41A2" w14:textId="77777777" w:rsidR="001B6E69" w:rsidRPr="00A8061A" w:rsidRDefault="001B6E69" w:rsidP="001B6E69">
            <w:pPr>
              <w:jc w:val="cente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Li 1s</w:t>
            </w:r>
          </w:p>
        </w:tc>
        <w:tc>
          <w:tcPr>
            <w:tcW w:w="1988" w:type="dxa"/>
            <w:tcBorders>
              <w:top w:val="nil"/>
              <w:left w:val="nil"/>
              <w:bottom w:val="nil"/>
              <w:right w:val="nil"/>
            </w:tcBorders>
            <w:shd w:val="clear" w:color="auto" w:fill="auto"/>
            <w:noWrap/>
            <w:tcMar>
              <w:top w:w="15" w:type="dxa"/>
              <w:left w:w="15" w:type="dxa"/>
              <w:bottom w:w="0" w:type="dxa"/>
              <w:right w:w="15" w:type="dxa"/>
            </w:tcMar>
            <w:vAlign w:val="center"/>
            <w:hideMark/>
          </w:tcPr>
          <w:p w14:paraId="199BCC74" w14:textId="77777777" w:rsidR="001B6E69" w:rsidRPr="00A8061A" w:rsidRDefault="001B6E69" w:rsidP="001B6E69">
            <w:pPr>
              <w:rPr>
                <w:rFonts w:ascii="Times New Roman" w:hAnsi="Times New Roman" w:cs="Times New Roman"/>
                <w:color w:val="000000"/>
                <w:sz w:val="20"/>
                <w:szCs w:val="20"/>
                <w:lang w:val="en-US"/>
              </w:rPr>
            </w:pPr>
          </w:p>
        </w:tc>
        <w:tc>
          <w:tcPr>
            <w:tcW w:w="2012" w:type="dxa"/>
            <w:tcBorders>
              <w:top w:val="nil"/>
              <w:left w:val="nil"/>
              <w:bottom w:val="nil"/>
              <w:right w:val="nil"/>
            </w:tcBorders>
            <w:shd w:val="clear" w:color="auto" w:fill="auto"/>
            <w:noWrap/>
            <w:tcMar>
              <w:top w:w="15" w:type="dxa"/>
              <w:left w:w="15" w:type="dxa"/>
              <w:bottom w:w="0" w:type="dxa"/>
              <w:right w:w="15" w:type="dxa"/>
            </w:tcMar>
            <w:vAlign w:val="center"/>
            <w:hideMark/>
          </w:tcPr>
          <w:p w14:paraId="08FF4780" w14:textId="77777777" w:rsidR="001B6E69" w:rsidRPr="00A8061A" w:rsidRDefault="001B6E69" w:rsidP="001B6E69">
            <w:pPr>
              <w:rPr>
                <w:rFonts w:ascii="Times New Roman" w:hAnsi="Times New Roman" w:cs="Times New Roman"/>
                <w:sz w:val="20"/>
                <w:szCs w:val="20"/>
                <w:lang w:val="en-US"/>
              </w:rPr>
            </w:pPr>
          </w:p>
        </w:tc>
      </w:tr>
      <w:tr w:rsidR="001B6E69" w:rsidRPr="00A8061A" w14:paraId="0056A8CF"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06F001" w14:textId="77777777" w:rsidR="001B6E69" w:rsidRPr="00A8061A" w:rsidRDefault="001B6E69"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Electrode</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321EE4" w14:textId="39D8F15C" w:rsidR="001B6E69" w:rsidRPr="00A8061A" w:rsidRDefault="000B4561"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A</w:t>
            </w:r>
            <w:r w:rsidR="001B6E69" w:rsidRPr="00A8061A">
              <w:rPr>
                <w:rFonts w:ascii="Times New Roman" w:hAnsi="Times New Roman" w:cs="Times New Roman"/>
                <w:b/>
                <w:color w:val="000000"/>
                <w:sz w:val="20"/>
                <w:szCs w:val="20"/>
                <w:lang w:val="en-US"/>
              </w:rPr>
              <w:t>tom percent [%]</w:t>
            </w:r>
          </w:p>
        </w:tc>
        <w:tc>
          <w:tcPr>
            <w:tcW w:w="198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7D80A71" w14:textId="4E51B5E5" w:rsidR="001B6E69" w:rsidRPr="00A8061A" w:rsidRDefault="00282BCF" w:rsidP="001B6E69">
            <w:pPr>
              <w:rPr>
                <w:rFonts w:ascii="Times New Roman" w:hAnsi="Times New Roman" w:cs="Times New Roman"/>
                <w:b/>
                <w:color w:val="000000"/>
                <w:sz w:val="20"/>
                <w:szCs w:val="20"/>
                <w:lang w:val="en-US"/>
              </w:rPr>
            </w:pPr>
            <w:r w:rsidRPr="00A8061A">
              <w:rPr>
                <w:rFonts w:ascii="Times New Roman" w:hAnsi="Times New Roman" w:cs="Times New Roman"/>
                <w:b/>
                <w:color w:val="000000"/>
                <w:sz w:val="20"/>
                <w:szCs w:val="20"/>
                <w:lang w:val="en-US"/>
              </w:rPr>
              <w:t>S</w:t>
            </w:r>
            <w:r w:rsidR="001B6E69" w:rsidRPr="00A8061A">
              <w:rPr>
                <w:rFonts w:ascii="Times New Roman" w:hAnsi="Times New Roman" w:cs="Times New Roman"/>
                <w:b/>
                <w:color w:val="000000"/>
                <w:sz w:val="20"/>
                <w:szCs w:val="20"/>
                <w:lang w:val="en-US"/>
              </w:rPr>
              <w:t>tandard deviation [%]</w:t>
            </w:r>
          </w:p>
        </w:tc>
        <w:tc>
          <w:tcPr>
            <w:tcW w:w="1988" w:type="dxa"/>
            <w:tcBorders>
              <w:top w:val="nil"/>
              <w:left w:val="nil"/>
              <w:bottom w:val="nil"/>
              <w:right w:val="nil"/>
            </w:tcBorders>
            <w:shd w:val="clear" w:color="auto" w:fill="auto"/>
            <w:noWrap/>
            <w:tcMar>
              <w:top w:w="15" w:type="dxa"/>
              <w:left w:w="15" w:type="dxa"/>
              <w:bottom w:w="0" w:type="dxa"/>
              <w:right w:w="15" w:type="dxa"/>
            </w:tcMar>
            <w:vAlign w:val="center"/>
            <w:hideMark/>
          </w:tcPr>
          <w:p w14:paraId="06153D0A" w14:textId="77777777" w:rsidR="001B6E69" w:rsidRPr="00A8061A" w:rsidRDefault="001B6E69" w:rsidP="001B6E69">
            <w:pPr>
              <w:rPr>
                <w:rFonts w:ascii="Times New Roman" w:hAnsi="Times New Roman" w:cs="Times New Roman"/>
                <w:color w:val="000000"/>
                <w:sz w:val="20"/>
                <w:szCs w:val="20"/>
                <w:lang w:val="en-US"/>
              </w:rPr>
            </w:pPr>
          </w:p>
        </w:tc>
        <w:tc>
          <w:tcPr>
            <w:tcW w:w="2012" w:type="dxa"/>
            <w:tcBorders>
              <w:top w:val="nil"/>
              <w:left w:val="nil"/>
              <w:bottom w:val="nil"/>
              <w:right w:val="nil"/>
            </w:tcBorders>
            <w:shd w:val="clear" w:color="auto" w:fill="auto"/>
            <w:noWrap/>
            <w:tcMar>
              <w:top w:w="15" w:type="dxa"/>
              <w:left w:w="15" w:type="dxa"/>
              <w:bottom w:w="0" w:type="dxa"/>
              <w:right w:w="15" w:type="dxa"/>
            </w:tcMar>
            <w:vAlign w:val="center"/>
            <w:hideMark/>
          </w:tcPr>
          <w:p w14:paraId="77D34DA5" w14:textId="77777777" w:rsidR="001B6E69" w:rsidRPr="00A8061A" w:rsidRDefault="001B6E69" w:rsidP="001B6E69">
            <w:pPr>
              <w:rPr>
                <w:rFonts w:ascii="Times New Roman" w:hAnsi="Times New Roman" w:cs="Times New Roman"/>
                <w:sz w:val="20"/>
                <w:szCs w:val="20"/>
                <w:lang w:val="en-US"/>
              </w:rPr>
            </w:pPr>
          </w:p>
        </w:tc>
      </w:tr>
      <w:tr w:rsidR="001B6E69" w:rsidRPr="00A8061A" w14:paraId="7BB20F4C"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96B60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pLi</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D250E4"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23.49</w:t>
            </w:r>
          </w:p>
        </w:tc>
        <w:tc>
          <w:tcPr>
            <w:tcW w:w="198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E75DF9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0.93</w:t>
            </w:r>
          </w:p>
        </w:tc>
        <w:tc>
          <w:tcPr>
            <w:tcW w:w="1988" w:type="dxa"/>
            <w:tcBorders>
              <w:top w:val="nil"/>
              <w:left w:val="nil"/>
              <w:bottom w:val="nil"/>
              <w:right w:val="nil"/>
            </w:tcBorders>
            <w:shd w:val="clear" w:color="auto" w:fill="auto"/>
            <w:noWrap/>
            <w:tcMar>
              <w:top w:w="15" w:type="dxa"/>
              <w:left w:w="15" w:type="dxa"/>
              <w:bottom w:w="0" w:type="dxa"/>
              <w:right w:w="15" w:type="dxa"/>
            </w:tcMar>
            <w:vAlign w:val="center"/>
            <w:hideMark/>
          </w:tcPr>
          <w:p w14:paraId="2B0FD964" w14:textId="77777777" w:rsidR="001B6E69" w:rsidRPr="00A8061A" w:rsidRDefault="001B6E69" w:rsidP="001B6E69">
            <w:pPr>
              <w:rPr>
                <w:rFonts w:ascii="Times New Roman" w:hAnsi="Times New Roman" w:cs="Times New Roman"/>
                <w:color w:val="000000"/>
                <w:sz w:val="20"/>
                <w:szCs w:val="20"/>
                <w:lang w:val="en-US"/>
              </w:rPr>
            </w:pPr>
          </w:p>
        </w:tc>
        <w:tc>
          <w:tcPr>
            <w:tcW w:w="2012" w:type="dxa"/>
            <w:tcBorders>
              <w:top w:val="nil"/>
              <w:left w:val="nil"/>
              <w:bottom w:val="nil"/>
              <w:right w:val="nil"/>
            </w:tcBorders>
            <w:shd w:val="clear" w:color="auto" w:fill="auto"/>
            <w:noWrap/>
            <w:tcMar>
              <w:top w:w="15" w:type="dxa"/>
              <w:left w:w="15" w:type="dxa"/>
              <w:bottom w:w="0" w:type="dxa"/>
              <w:right w:w="15" w:type="dxa"/>
            </w:tcMar>
            <w:vAlign w:val="center"/>
            <w:hideMark/>
          </w:tcPr>
          <w:p w14:paraId="1A139118" w14:textId="77777777" w:rsidR="001B6E69" w:rsidRPr="00A8061A" w:rsidRDefault="001B6E69" w:rsidP="001B6E69">
            <w:pPr>
              <w:rPr>
                <w:rFonts w:ascii="Times New Roman" w:hAnsi="Times New Roman" w:cs="Times New Roman"/>
                <w:sz w:val="20"/>
                <w:szCs w:val="20"/>
                <w:lang w:val="en-US"/>
              </w:rPr>
            </w:pPr>
          </w:p>
        </w:tc>
      </w:tr>
      <w:tr w:rsidR="001B6E69" w:rsidRPr="00A8061A" w14:paraId="087D9345"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901BEAE"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BE@Li</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FD24F4"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21.64</w:t>
            </w:r>
          </w:p>
        </w:tc>
        <w:tc>
          <w:tcPr>
            <w:tcW w:w="198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47F7556"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5.91</w:t>
            </w:r>
          </w:p>
        </w:tc>
        <w:tc>
          <w:tcPr>
            <w:tcW w:w="1988" w:type="dxa"/>
            <w:tcBorders>
              <w:top w:val="nil"/>
              <w:left w:val="nil"/>
              <w:bottom w:val="nil"/>
              <w:right w:val="nil"/>
            </w:tcBorders>
            <w:shd w:val="clear" w:color="auto" w:fill="auto"/>
            <w:noWrap/>
            <w:tcMar>
              <w:top w:w="15" w:type="dxa"/>
              <w:left w:w="15" w:type="dxa"/>
              <w:bottom w:w="0" w:type="dxa"/>
              <w:right w:w="15" w:type="dxa"/>
            </w:tcMar>
            <w:vAlign w:val="center"/>
            <w:hideMark/>
          </w:tcPr>
          <w:p w14:paraId="38C55622" w14:textId="77777777" w:rsidR="001B6E69" w:rsidRPr="00A8061A" w:rsidRDefault="001B6E69" w:rsidP="001B6E69">
            <w:pPr>
              <w:rPr>
                <w:rFonts w:ascii="Times New Roman" w:hAnsi="Times New Roman" w:cs="Times New Roman"/>
                <w:color w:val="000000"/>
                <w:sz w:val="20"/>
                <w:szCs w:val="20"/>
                <w:lang w:val="en-US"/>
              </w:rPr>
            </w:pPr>
          </w:p>
        </w:tc>
        <w:tc>
          <w:tcPr>
            <w:tcW w:w="2012" w:type="dxa"/>
            <w:tcBorders>
              <w:top w:val="nil"/>
              <w:left w:val="nil"/>
              <w:bottom w:val="nil"/>
              <w:right w:val="nil"/>
            </w:tcBorders>
            <w:shd w:val="clear" w:color="auto" w:fill="auto"/>
            <w:noWrap/>
            <w:tcMar>
              <w:top w:w="15" w:type="dxa"/>
              <w:left w:w="15" w:type="dxa"/>
              <w:bottom w:w="0" w:type="dxa"/>
              <w:right w:w="15" w:type="dxa"/>
            </w:tcMar>
            <w:vAlign w:val="center"/>
            <w:hideMark/>
          </w:tcPr>
          <w:p w14:paraId="058633CB" w14:textId="77777777" w:rsidR="001B6E69" w:rsidRPr="00A8061A" w:rsidRDefault="001B6E69" w:rsidP="001B6E69">
            <w:pPr>
              <w:rPr>
                <w:rFonts w:ascii="Times New Roman" w:hAnsi="Times New Roman" w:cs="Times New Roman"/>
                <w:sz w:val="20"/>
                <w:szCs w:val="20"/>
                <w:lang w:val="en-US"/>
              </w:rPr>
            </w:pPr>
          </w:p>
        </w:tc>
      </w:tr>
      <w:tr w:rsidR="001B6E69" w:rsidRPr="00A8061A" w14:paraId="3B41ACBC" w14:textId="77777777" w:rsidTr="001B6E69">
        <w:trPr>
          <w:trHeight w:hRule="exact" w:val="284"/>
        </w:trPr>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4876B19"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AE-VC@Li</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247E4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25.70</w:t>
            </w:r>
          </w:p>
        </w:tc>
        <w:tc>
          <w:tcPr>
            <w:tcW w:w="198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50DBF6B"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2.45</w:t>
            </w:r>
          </w:p>
        </w:tc>
        <w:tc>
          <w:tcPr>
            <w:tcW w:w="1988" w:type="dxa"/>
            <w:tcBorders>
              <w:top w:val="nil"/>
              <w:left w:val="nil"/>
              <w:bottom w:val="nil"/>
              <w:right w:val="nil"/>
            </w:tcBorders>
            <w:shd w:val="clear" w:color="auto" w:fill="auto"/>
            <w:noWrap/>
            <w:tcMar>
              <w:top w:w="15" w:type="dxa"/>
              <w:left w:w="15" w:type="dxa"/>
              <w:bottom w:w="0" w:type="dxa"/>
              <w:right w:w="15" w:type="dxa"/>
            </w:tcMar>
            <w:vAlign w:val="center"/>
            <w:hideMark/>
          </w:tcPr>
          <w:p w14:paraId="4B7519E0" w14:textId="77777777" w:rsidR="001B6E69" w:rsidRPr="00A8061A" w:rsidRDefault="001B6E69" w:rsidP="001B6E69">
            <w:pPr>
              <w:rPr>
                <w:rFonts w:ascii="Times New Roman" w:hAnsi="Times New Roman" w:cs="Times New Roman"/>
                <w:color w:val="000000"/>
                <w:sz w:val="20"/>
                <w:szCs w:val="20"/>
                <w:lang w:val="en-US"/>
              </w:rPr>
            </w:pPr>
          </w:p>
        </w:tc>
        <w:tc>
          <w:tcPr>
            <w:tcW w:w="2012" w:type="dxa"/>
            <w:tcBorders>
              <w:top w:val="nil"/>
              <w:left w:val="nil"/>
              <w:bottom w:val="nil"/>
              <w:right w:val="nil"/>
            </w:tcBorders>
            <w:shd w:val="clear" w:color="auto" w:fill="auto"/>
            <w:noWrap/>
            <w:tcMar>
              <w:top w:w="15" w:type="dxa"/>
              <w:left w:w="15" w:type="dxa"/>
              <w:bottom w:w="0" w:type="dxa"/>
              <w:right w:w="15" w:type="dxa"/>
            </w:tcMar>
            <w:vAlign w:val="center"/>
            <w:hideMark/>
          </w:tcPr>
          <w:p w14:paraId="666E9471" w14:textId="77777777" w:rsidR="001B6E69" w:rsidRPr="00A8061A" w:rsidRDefault="001B6E69" w:rsidP="001B6E69">
            <w:pPr>
              <w:rPr>
                <w:rFonts w:ascii="Times New Roman" w:hAnsi="Times New Roman" w:cs="Times New Roman"/>
                <w:sz w:val="20"/>
                <w:szCs w:val="20"/>
                <w:lang w:val="en-US"/>
              </w:rPr>
            </w:pPr>
          </w:p>
        </w:tc>
      </w:tr>
      <w:tr w:rsidR="001B6E69" w:rsidRPr="00A8061A" w14:paraId="6F9A0C27" w14:textId="77777777" w:rsidTr="007361F1">
        <w:trPr>
          <w:trHeight w:hRule="exact" w:val="265"/>
        </w:trPr>
        <w:tc>
          <w:tcPr>
            <w:tcW w:w="1276"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18C8189"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lastRenderedPageBreak/>
              <w:t>AE-FEC@Li</w:t>
            </w:r>
          </w:p>
        </w:tc>
        <w:tc>
          <w:tcPr>
            <w:tcW w:w="1843"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66524B6B"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34.10</w:t>
            </w:r>
          </w:p>
        </w:tc>
        <w:tc>
          <w:tcPr>
            <w:tcW w:w="1981" w:type="dxa"/>
            <w:tcBorders>
              <w:top w:val="nil"/>
              <w:left w:val="nil"/>
              <w:bottom w:val="nil"/>
              <w:right w:val="nil"/>
            </w:tcBorders>
            <w:shd w:val="clear" w:color="auto" w:fill="auto"/>
            <w:noWrap/>
            <w:tcMar>
              <w:top w:w="15" w:type="dxa"/>
              <w:left w:w="15" w:type="dxa"/>
              <w:bottom w:w="0" w:type="dxa"/>
              <w:right w:w="15" w:type="dxa"/>
            </w:tcMar>
            <w:vAlign w:val="center"/>
            <w:hideMark/>
          </w:tcPr>
          <w:p w14:paraId="7E24423A" w14:textId="77777777" w:rsidR="001B6E69" w:rsidRPr="00A8061A" w:rsidRDefault="001B6E69" w:rsidP="001B6E69">
            <w:pPr>
              <w:rPr>
                <w:rFonts w:ascii="Times New Roman" w:hAnsi="Times New Roman" w:cs="Times New Roman"/>
                <w:color w:val="000000"/>
                <w:sz w:val="20"/>
                <w:szCs w:val="20"/>
                <w:lang w:val="en-US"/>
              </w:rPr>
            </w:pPr>
            <w:r w:rsidRPr="00A8061A">
              <w:rPr>
                <w:rFonts w:ascii="Times New Roman" w:hAnsi="Times New Roman" w:cs="Times New Roman"/>
                <w:color w:val="000000"/>
                <w:sz w:val="20"/>
                <w:szCs w:val="20"/>
                <w:lang w:val="en-US"/>
              </w:rPr>
              <w:t>3.71</w:t>
            </w:r>
          </w:p>
        </w:tc>
        <w:tc>
          <w:tcPr>
            <w:tcW w:w="1988" w:type="dxa"/>
            <w:tcBorders>
              <w:top w:val="nil"/>
              <w:left w:val="nil"/>
              <w:bottom w:val="nil"/>
              <w:right w:val="nil"/>
            </w:tcBorders>
            <w:shd w:val="clear" w:color="auto" w:fill="auto"/>
            <w:noWrap/>
            <w:tcMar>
              <w:top w:w="15" w:type="dxa"/>
              <w:left w:w="15" w:type="dxa"/>
              <w:bottom w:w="0" w:type="dxa"/>
              <w:right w:w="15" w:type="dxa"/>
            </w:tcMar>
            <w:vAlign w:val="center"/>
            <w:hideMark/>
          </w:tcPr>
          <w:p w14:paraId="500D9CA9" w14:textId="77777777" w:rsidR="001B6E69" w:rsidRPr="00A8061A" w:rsidRDefault="001B6E69" w:rsidP="001B6E69">
            <w:pPr>
              <w:rPr>
                <w:rFonts w:ascii="Times New Roman" w:hAnsi="Times New Roman" w:cs="Times New Roman"/>
                <w:color w:val="000000"/>
                <w:sz w:val="20"/>
                <w:szCs w:val="20"/>
                <w:lang w:val="en-US"/>
              </w:rPr>
            </w:pPr>
          </w:p>
        </w:tc>
        <w:tc>
          <w:tcPr>
            <w:tcW w:w="2012" w:type="dxa"/>
            <w:tcBorders>
              <w:top w:val="nil"/>
              <w:left w:val="nil"/>
              <w:bottom w:val="nil"/>
              <w:right w:val="nil"/>
            </w:tcBorders>
            <w:shd w:val="clear" w:color="auto" w:fill="auto"/>
            <w:noWrap/>
            <w:tcMar>
              <w:top w:w="15" w:type="dxa"/>
              <w:left w:w="15" w:type="dxa"/>
              <w:bottom w:w="0" w:type="dxa"/>
              <w:right w:w="15" w:type="dxa"/>
            </w:tcMar>
            <w:vAlign w:val="center"/>
            <w:hideMark/>
          </w:tcPr>
          <w:p w14:paraId="353FE752" w14:textId="77777777" w:rsidR="001B6E69" w:rsidRPr="00A8061A" w:rsidRDefault="001B6E69" w:rsidP="001B6E69">
            <w:pPr>
              <w:rPr>
                <w:rFonts w:ascii="Times New Roman" w:hAnsi="Times New Roman" w:cs="Times New Roman"/>
                <w:sz w:val="20"/>
                <w:szCs w:val="20"/>
                <w:lang w:val="en-US"/>
              </w:rPr>
            </w:pPr>
          </w:p>
        </w:tc>
      </w:tr>
    </w:tbl>
    <w:p w14:paraId="420D3853" w14:textId="77777777" w:rsidR="00A54F9B" w:rsidRPr="00A8061A" w:rsidRDefault="00A54F9B" w:rsidP="001B6E69">
      <w:pPr>
        <w:jc w:val="both"/>
        <w:rPr>
          <w:rFonts w:ascii="Times New Roman" w:hAnsi="Times New Roman" w:cs="Times New Roman"/>
          <w:sz w:val="16"/>
          <w:szCs w:val="20"/>
          <w:lang w:val="en-US"/>
        </w:rPr>
      </w:pPr>
    </w:p>
    <w:p w14:paraId="661F5FA1" w14:textId="11250FAB" w:rsidR="009E633E" w:rsidRPr="00A8061A" w:rsidRDefault="00A54F9B" w:rsidP="009E633E">
      <w:pPr>
        <w:jc w:val="both"/>
        <w:rPr>
          <w:rFonts w:ascii="Times New Roman" w:hAnsi="Times New Roman" w:cs="Times New Roman"/>
          <w:i/>
          <w:sz w:val="20"/>
          <w:szCs w:val="20"/>
          <w:lang w:val="en-US"/>
        </w:rPr>
      </w:pPr>
      <w:r w:rsidRPr="00A8061A">
        <w:rPr>
          <w:rFonts w:ascii="Times New Roman" w:hAnsi="Times New Roman" w:cs="Times New Roman"/>
          <w:i/>
          <w:sz w:val="20"/>
          <w:szCs w:val="20"/>
          <w:lang w:val="en-US"/>
        </w:rPr>
        <w:t>A.4.</w:t>
      </w:r>
      <w:r w:rsidR="00FC47EB" w:rsidRPr="00A8061A">
        <w:rPr>
          <w:rFonts w:ascii="Times New Roman" w:hAnsi="Times New Roman" w:cs="Times New Roman"/>
          <w:i/>
          <w:sz w:val="20"/>
          <w:szCs w:val="20"/>
          <w:lang w:val="en-US"/>
        </w:rPr>
        <w:t xml:space="preserve"> </w:t>
      </w:r>
      <w:r w:rsidR="009E633E" w:rsidRPr="00A8061A">
        <w:rPr>
          <w:rFonts w:ascii="Times New Roman" w:hAnsi="Times New Roman" w:cs="Times New Roman"/>
          <w:i/>
          <w:sz w:val="20"/>
          <w:szCs w:val="20"/>
          <w:lang w:val="en-US"/>
        </w:rPr>
        <w:t>Values of EIS measurements</w:t>
      </w:r>
    </w:p>
    <w:p w14:paraId="5CA48CE9" w14:textId="2AFDF3B9" w:rsidR="009E633E" w:rsidRPr="00A8061A" w:rsidRDefault="00A54F9B" w:rsidP="009E633E">
      <w:pPr>
        <w:jc w:val="both"/>
        <w:rPr>
          <w:rFonts w:ascii="Times New Roman" w:hAnsi="Times New Roman" w:cs="Times New Roman"/>
          <w:sz w:val="16"/>
          <w:szCs w:val="20"/>
          <w:lang w:val="en-US"/>
        </w:rPr>
      </w:pPr>
      <w:r w:rsidRPr="00A8061A">
        <w:rPr>
          <w:rFonts w:ascii="Times New Roman" w:hAnsi="Times New Roman" w:cs="Times New Roman"/>
          <w:sz w:val="16"/>
          <w:szCs w:val="20"/>
          <w:lang w:val="en-US"/>
        </w:rPr>
        <w:t>Table A.4</w:t>
      </w:r>
      <w:r w:rsidR="00654C31" w:rsidRPr="00A8061A">
        <w:rPr>
          <w:rFonts w:ascii="Times New Roman" w:hAnsi="Times New Roman" w:cs="Times New Roman"/>
          <w:sz w:val="16"/>
          <w:szCs w:val="20"/>
          <w:lang w:val="en-US"/>
        </w:rPr>
        <w:t>.1.</w:t>
      </w:r>
      <w:r w:rsidR="009E633E" w:rsidRPr="00A8061A">
        <w:rPr>
          <w:rFonts w:ascii="Times New Roman" w:hAnsi="Times New Roman" w:cs="Times New Roman"/>
          <w:sz w:val="16"/>
          <w:szCs w:val="20"/>
          <w:lang w:val="en-US"/>
        </w:rPr>
        <w:t xml:space="preserve"> Average R</w:t>
      </w:r>
      <w:r w:rsidR="009E633E" w:rsidRPr="00A8061A">
        <w:rPr>
          <w:rFonts w:ascii="Times New Roman" w:hAnsi="Times New Roman" w:cs="Times New Roman"/>
          <w:sz w:val="16"/>
          <w:szCs w:val="20"/>
          <w:vertAlign w:val="subscript"/>
          <w:lang w:val="en-US"/>
        </w:rPr>
        <w:t xml:space="preserve">SEI </w:t>
      </w:r>
      <w:r w:rsidR="009E633E" w:rsidRPr="00A8061A">
        <w:rPr>
          <w:rFonts w:ascii="Times New Roman" w:hAnsi="Times New Roman" w:cs="Times New Roman"/>
          <w:sz w:val="16"/>
          <w:szCs w:val="20"/>
          <w:lang w:val="en-US"/>
        </w:rPr>
        <w:t xml:space="preserve">data obtained for the considered </w:t>
      </w:r>
      <w:r w:rsidRPr="00A8061A">
        <w:rPr>
          <w:rFonts w:ascii="Times New Roman" w:hAnsi="Times New Roman" w:cs="Times New Roman"/>
          <w:sz w:val="16"/>
          <w:szCs w:val="20"/>
          <w:lang w:val="en-US"/>
        </w:rPr>
        <w:t>cell setups.</w:t>
      </w:r>
    </w:p>
    <w:tbl>
      <w:tblPr>
        <w:tblW w:w="9072" w:type="dxa"/>
        <w:tblCellMar>
          <w:left w:w="70" w:type="dxa"/>
          <w:right w:w="70" w:type="dxa"/>
        </w:tblCellMar>
        <w:tblLook w:val="04A0" w:firstRow="1" w:lastRow="0" w:firstColumn="1" w:lastColumn="0" w:noHBand="0" w:noVBand="1"/>
      </w:tblPr>
      <w:tblGrid>
        <w:gridCol w:w="733"/>
        <w:gridCol w:w="1955"/>
        <w:gridCol w:w="2223"/>
        <w:gridCol w:w="2177"/>
        <w:gridCol w:w="1984"/>
      </w:tblGrid>
      <w:tr w:rsidR="009E633E" w:rsidRPr="00A8061A" w14:paraId="083A6908"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2FBEB64A" w14:textId="77777777" w:rsidR="009E633E" w:rsidRPr="00A8061A"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 </w:t>
            </w:r>
          </w:p>
        </w:tc>
        <w:tc>
          <w:tcPr>
            <w:tcW w:w="4178" w:type="dxa"/>
            <w:gridSpan w:val="2"/>
            <w:tcBorders>
              <w:top w:val="nil"/>
              <w:left w:val="nil"/>
              <w:bottom w:val="single" w:sz="4" w:space="0" w:color="auto"/>
              <w:right w:val="single" w:sz="4" w:space="0" w:color="000000"/>
            </w:tcBorders>
            <w:shd w:val="clear" w:color="auto" w:fill="auto"/>
            <w:noWrap/>
            <w:vAlign w:val="bottom"/>
            <w:hideMark/>
          </w:tcPr>
          <w:p w14:paraId="42640116" w14:textId="77777777" w:rsidR="009E633E" w:rsidRPr="00A8061A" w:rsidRDefault="009E633E" w:rsidP="009E633E">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pLi×BE</w:t>
            </w:r>
          </w:p>
        </w:tc>
        <w:tc>
          <w:tcPr>
            <w:tcW w:w="4161" w:type="dxa"/>
            <w:gridSpan w:val="2"/>
            <w:tcBorders>
              <w:top w:val="nil"/>
              <w:left w:val="nil"/>
              <w:bottom w:val="single" w:sz="4" w:space="0" w:color="auto"/>
              <w:right w:val="nil"/>
            </w:tcBorders>
            <w:shd w:val="clear" w:color="auto" w:fill="auto"/>
            <w:noWrap/>
            <w:vAlign w:val="bottom"/>
            <w:hideMark/>
          </w:tcPr>
          <w:p w14:paraId="118A786B" w14:textId="77777777" w:rsidR="009E633E" w:rsidRPr="00A8061A" w:rsidRDefault="009E633E" w:rsidP="009E633E">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BE@Li×BE</w:t>
            </w:r>
          </w:p>
        </w:tc>
      </w:tr>
      <w:tr w:rsidR="009E633E" w:rsidRPr="00A8061A" w14:paraId="4EA9BF91"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43DC084F" w14:textId="77777777" w:rsidR="009E633E" w:rsidRPr="00A8061A"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Time</w:t>
            </w:r>
          </w:p>
        </w:tc>
        <w:tc>
          <w:tcPr>
            <w:tcW w:w="1955" w:type="dxa"/>
            <w:tcBorders>
              <w:top w:val="nil"/>
              <w:left w:val="nil"/>
              <w:bottom w:val="single" w:sz="4" w:space="0" w:color="auto"/>
              <w:right w:val="single" w:sz="4" w:space="0" w:color="auto"/>
            </w:tcBorders>
            <w:shd w:val="clear" w:color="auto" w:fill="auto"/>
            <w:noWrap/>
            <w:vAlign w:val="bottom"/>
            <w:hideMark/>
          </w:tcPr>
          <w:p w14:paraId="6B37A593" w14:textId="77777777" w:rsidR="009E633E" w:rsidRPr="00A8061A"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R-SEI</w:t>
            </w:r>
          </w:p>
        </w:tc>
        <w:tc>
          <w:tcPr>
            <w:tcW w:w="2223" w:type="dxa"/>
            <w:tcBorders>
              <w:top w:val="nil"/>
              <w:left w:val="nil"/>
              <w:bottom w:val="single" w:sz="4" w:space="0" w:color="auto"/>
              <w:right w:val="single" w:sz="4" w:space="0" w:color="auto"/>
            </w:tcBorders>
            <w:shd w:val="clear" w:color="auto" w:fill="auto"/>
            <w:noWrap/>
            <w:vAlign w:val="bottom"/>
            <w:hideMark/>
          </w:tcPr>
          <w:p w14:paraId="50D7E14D" w14:textId="319291C8" w:rsidR="009E633E" w:rsidRPr="00A8061A" w:rsidRDefault="00FE2805"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Standard deviation</w:t>
            </w:r>
          </w:p>
        </w:tc>
        <w:tc>
          <w:tcPr>
            <w:tcW w:w="2177" w:type="dxa"/>
            <w:tcBorders>
              <w:top w:val="nil"/>
              <w:left w:val="nil"/>
              <w:bottom w:val="single" w:sz="4" w:space="0" w:color="auto"/>
              <w:right w:val="single" w:sz="4" w:space="0" w:color="auto"/>
            </w:tcBorders>
            <w:shd w:val="clear" w:color="auto" w:fill="auto"/>
            <w:noWrap/>
            <w:vAlign w:val="bottom"/>
            <w:hideMark/>
          </w:tcPr>
          <w:p w14:paraId="04EB2C34" w14:textId="77777777" w:rsidR="009E633E" w:rsidRPr="00A8061A"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R-SEI</w:t>
            </w:r>
          </w:p>
        </w:tc>
        <w:tc>
          <w:tcPr>
            <w:tcW w:w="1984" w:type="dxa"/>
            <w:tcBorders>
              <w:top w:val="nil"/>
              <w:left w:val="nil"/>
              <w:bottom w:val="single" w:sz="4" w:space="0" w:color="auto"/>
              <w:right w:val="nil"/>
            </w:tcBorders>
            <w:shd w:val="clear" w:color="auto" w:fill="auto"/>
            <w:noWrap/>
            <w:vAlign w:val="bottom"/>
            <w:hideMark/>
          </w:tcPr>
          <w:p w14:paraId="4D0B8994" w14:textId="5E7DDEC6" w:rsidR="009E633E" w:rsidRPr="00A8061A" w:rsidRDefault="00FE2805"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Standard deviation</w:t>
            </w:r>
          </w:p>
        </w:tc>
      </w:tr>
      <w:tr w:rsidR="009E633E" w:rsidRPr="00A8061A" w14:paraId="79125881"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6126FE7B" w14:textId="77777777" w:rsidR="009E633E" w:rsidRPr="00A8061A"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[h]</w:t>
            </w:r>
          </w:p>
        </w:tc>
        <w:tc>
          <w:tcPr>
            <w:tcW w:w="1955" w:type="dxa"/>
            <w:tcBorders>
              <w:top w:val="nil"/>
              <w:left w:val="nil"/>
              <w:bottom w:val="single" w:sz="4" w:space="0" w:color="auto"/>
              <w:right w:val="single" w:sz="4" w:space="0" w:color="auto"/>
            </w:tcBorders>
            <w:shd w:val="clear" w:color="auto" w:fill="auto"/>
            <w:noWrap/>
            <w:vAlign w:val="bottom"/>
            <w:hideMark/>
          </w:tcPr>
          <w:p w14:paraId="2FFDA899" w14:textId="77777777" w:rsidR="009E633E" w:rsidRPr="00A8061A"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c>
          <w:tcPr>
            <w:tcW w:w="2223" w:type="dxa"/>
            <w:tcBorders>
              <w:top w:val="nil"/>
              <w:left w:val="nil"/>
              <w:bottom w:val="single" w:sz="4" w:space="0" w:color="auto"/>
              <w:right w:val="single" w:sz="4" w:space="0" w:color="auto"/>
            </w:tcBorders>
            <w:shd w:val="clear" w:color="auto" w:fill="auto"/>
            <w:noWrap/>
            <w:vAlign w:val="bottom"/>
            <w:hideMark/>
          </w:tcPr>
          <w:p w14:paraId="3139CF59" w14:textId="77777777" w:rsidR="009E633E" w:rsidRPr="00A8061A"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c>
          <w:tcPr>
            <w:tcW w:w="2177" w:type="dxa"/>
            <w:tcBorders>
              <w:top w:val="nil"/>
              <w:left w:val="nil"/>
              <w:bottom w:val="single" w:sz="4" w:space="0" w:color="auto"/>
              <w:right w:val="single" w:sz="4" w:space="0" w:color="auto"/>
            </w:tcBorders>
            <w:shd w:val="clear" w:color="auto" w:fill="auto"/>
            <w:noWrap/>
            <w:vAlign w:val="bottom"/>
            <w:hideMark/>
          </w:tcPr>
          <w:p w14:paraId="11D4540A" w14:textId="77777777" w:rsidR="009E633E" w:rsidRPr="00A8061A"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c>
          <w:tcPr>
            <w:tcW w:w="1984" w:type="dxa"/>
            <w:tcBorders>
              <w:top w:val="nil"/>
              <w:left w:val="nil"/>
              <w:bottom w:val="single" w:sz="4" w:space="0" w:color="auto"/>
              <w:right w:val="nil"/>
            </w:tcBorders>
            <w:shd w:val="clear" w:color="auto" w:fill="auto"/>
            <w:noWrap/>
            <w:vAlign w:val="bottom"/>
            <w:hideMark/>
          </w:tcPr>
          <w:p w14:paraId="19A8BAC8" w14:textId="77777777" w:rsidR="009E633E" w:rsidRPr="00A8061A" w:rsidRDefault="009E633E" w:rsidP="009E633E">
            <w:pPr>
              <w:spacing w:after="0" w:line="240" w:lineRule="auto"/>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r>
      <w:tr w:rsidR="009E633E" w:rsidRPr="00A8061A" w14:paraId="7DFD16F7"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4FDA4280"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-12</w:t>
            </w:r>
          </w:p>
        </w:tc>
        <w:tc>
          <w:tcPr>
            <w:tcW w:w="1955" w:type="dxa"/>
            <w:tcBorders>
              <w:top w:val="nil"/>
              <w:left w:val="nil"/>
              <w:bottom w:val="single" w:sz="4" w:space="0" w:color="auto"/>
              <w:right w:val="single" w:sz="4" w:space="0" w:color="auto"/>
            </w:tcBorders>
            <w:shd w:val="clear" w:color="auto" w:fill="auto"/>
            <w:noWrap/>
            <w:vAlign w:val="bottom"/>
            <w:hideMark/>
          </w:tcPr>
          <w:p w14:paraId="0336093D"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457.50</w:t>
            </w:r>
          </w:p>
        </w:tc>
        <w:tc>
          <w:tcPr>
            <w:tcW w:w="2223" w:type="dxa"/>
            <w:tcBorders>
              <w:top w:val="nil"/>
              <w:left w:val="nil"/>
              <w:bottom w:val="single" w:sz="4" w:space="0" w:color="auto"/>
              <w:right w:val="single" w:sz="4" w:space="0" w:color="auto"/>
            </w:tcBorders>
            <w:shd w:val="clear" w:color="auto" w:fill="auto"/>
            <w:noWrap/>
            <w:vAlign w:val="bottom"/>
            <w:hideMark/>
          </w:tcPr>
          <w:p w14:paraId="4B0D0961"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3.54</w:t>
            </w:r>
          </w:p>
        </w:tc>
        <w:tc>
          <w:tcPr>
            <w:tcW w:w="2177" w:type="dxa"/>
            <w:tcBorders>
              <w:top w:val="nil"/>
              <w:left w:val="nil"/>
              <w:bottom w:val="single" w:sz="4" w:space="0" w:color="auto"/>
              <w:right w:val="single" w:sz="4" w:space="0" w:color="auto"/>
            </w:tcBorders>
            <w:shd w:val="clear" w:color="auto" w:fill="auto"/>
            <w:noWrap/>
            <w:vAlign w:val="bottom"/>
            <w:hideMark/>
          </w:tcPr>
          <w:p w14:paraId="4E2DAC20"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70.00</w:t>
            </w:r>
          </w:p>
        </w:tc>
        <w:tc>
          <w:tcPr>
            <w:tcW w:w="1984" w:type="dxa"/>
            <w:tcBorders>
              <w:top w:val="nil"/>
              <w:left w:val="nil"/>
              <w:bottom w:val="single" w:sz="4" w:space="0" w:color="auto"/>
              <w:right w:val="nil"/>
            </w:tcBorders>
            <w:shd w:val="clear" w:color="auto" w:fill="auto"/>
            <w:noWrap/>
            <w:vAlign w:val="bottom"/>
            <w:hideMark/>
          </w:tcPr>
          <w:p w14:paraId="493128F5"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21.79</w:t>
            </w:r>
          </w:p>
        </w:tc>
      </w:tr>
      <w:tr w:rsidR="009E633E" w:rsidRPr="00A8061A" w14:paraId="2AD8590D"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71670B5F"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0</w:t>
            </w:r>
          </w:p>
        </w:tc>
        <w:tc>
          <w:tcPr>
            <w:tcW w:w="1955" w:type="dxa"/>
            <w:tcBorders>
              <w:top w:val="nil"/>
              <w:left w:val="nil"/>
              <w:bottom w:val="single" w:sz="4" w:space="0" w:color="auto"/>
              <w:right w:val="single" w:sz="4" w:space="0" w:color="auto"/>
            </w:tcBorders>
            <w:shd w:val="clear" w:color="auto" w:fill="auto"/>
            <w:noWrap/>
            <w:vAlign w:val="bottom"/>
            <w:hideMark/>
          </w:tcPr>
          <w:p w14:paraId="192C2F47"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569.00</w:t>
            </w:r>
          </w:p>
        </w:tc>
        <w:tc>
          <w:tcPr>
            <w:tcW w:w="2223" w:type="dxa"/>
            <w:tcBorders>
              <w:top w:val="nil"/>
              <w:left w:val="nil"/>
              <w:bottom w:val="single" w:sz="4" w:space="0" w:color="auto"/>
              <w:right w:val="single" w:sz="4" w:space="0" w:color="auto"/>
            </w:tcBorders>
            <w:shd w:val="clear" w:color="auto" w:fill="auto"/>
            <w:noWrap/>
            <w:vAlign w:val="bottom"/>
            <w:hideMark/>
          </w:tcPr>
          <w:p w14:paraId="4F1E82B2"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100.41</w:t>
            </w:r>
          </w:p>
        </w:tc>
        <w:tc>
          <w:tcPr>
            <w:tcW w:w="2177" w:type="dxa"/>
            <w:tcBorders>
              <w:top w:val="nil"/>
              <w:left w:val="nil"/>
              <w:bottom w:val="single" w:sz="4" w:space="0" w:color="auto"/>
              <w:right w:val="single" w:sz="4" w:space="0" w:color="auto"/>
            </w:tcBorders>
            <w:shd w:val="clear" w:color="auto" w:fill="auto"/>
            <w:noWrap/>
            <w:vAlign w:val="bottom"/>
            <w:hideMark/>
          </w:tcPr>
          <w:p w14:paraId="6088C094"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87.67</w:t>
            </w:r>
          </w:p>
        </w:tc>
        <w:tc>
          <w:tcPr>
            <w:tcW w:w="1984" w:type="dxa"/>
            <w:tcBorders>
              <w:top w:val="nil"/>
              <w:left w:val="nil"/>
              <w:bottom w:val="single" w:sz="4" w:space="0" w:color="auto"/>
              <w:right w:val="nil"/>
            </w:tcBorders>
            <w:shd w:val="clear" w:color="auto" w:fill="auto"/>
            <w:noWrap/>
            <w:vAlign w:val="bottom"/>
            <w:hideMark/>
          </w:tcPr>
          <w:p w14:paraId="7950C667"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12.50</w:t>
            </w:r>
          </w:p>
        </w:tc>
      </w:tr>
      <w:tr w:rsidR="009E633E" w:rsidRPr="00A8061A" w14:paraId="3B7B192A"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48DD1679"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10</w:t>
            </w:r>
          </w:p>
        </w:tc>
        <w:tc>
          <w:tcPr>
            <w:tcW w:w="1955" w:type="dxa"/>
            <w:tcBorders>
              <w:top w:val="nil"/>
              <w:left w:val="nil"/>
              <w:bottom w:val="single" w:sz="4" w:space="0" w:color="auto"/>
              <w:right w:val="single" w:sz="4" w:space="0" w:color="auto"/>
            </w:tcBorders>
            <w:shd w:val="clear" w:color="auto" w:fill="auto"/>
            <w:noWrap/>
            <w:vAlign w:val="bottom"/>
            <w:hideMark/>
          </w:tcPr>
          <w:p w14:paraId="64B3F61F"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130.50</w:t>
            </w:r>
          </w:p>
        </w:tc>
        <w:tc>
          <w:tcPr>
            <w:tcW w:w="2223" w:type="dxa"/>
            <w:tcBorders>
              <w:top w:val="nil"/>
              <w:left w:val="nil"/>
              <w:bottom w:val="single" w:sz="4" w:space="0" w:color="auto"/>
              <w:right w:val="single" w:sz="4" w:space="0" w:color="auto"/>
            </w:tcBorders>
            <w:shd w:val="clear" w:color="auto" w:fill="auto"/>
            <w:noWrap/>
            <w:vAlign w:val="bottom"/>
            <w:hideMark/>
          </w:tcPr>
          <w:p w14:paraId="66F5FF1E"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31.82</w:t>
            </w:r>
          </w:p>
        </w:tc>
        <w:tc>
          <w:tcPr>
            <w:tcW w:w="2177" w:type="dxa"/>
            <w:tcBorders>
              <w:top w:val="nil"/>
              <w:left w:val="nil"/>
              <w:bottom w:val="single" w:sz="4" w:space="0" w:color="auto"/>
              <w:right w:val="single" w:sz="4" w:space="0" w:color="auto"/>
            </w:tcBorders>
            <w:shd w:val="clear" w:color="auto" w:fill="auto"/>
            <w:noWrap/>
            <w:vAlign w:val="bottom"/>
            <w:hideMark/>
          </w:tcPr>
          <w:p w14:paraId="06490568"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48.67</w:t>
            </w:r>
          </w:p>
        </w:tc>
        <w:tc>
          <w:tcPr>
            <w:tcW w:w="1984" w:type="dxa"/>
            <w:tcBorders>
              <w:top w:val="nil"/>
              <w:left w:val="nil"/>
              <w:bottom w:val="single" w:sz="4" w:space="0" w:color="auto"/>
              <w:right w:val="nil"/>
            </w:tcBorders>
            <w:shd w:val="clear" w:color="auto" w:fill="auto"/>
            <w:noWrap/>
            <w:vAlign w:val="bottom"/>
            <w:hideMark/>
          </w:tcPr>
          <w:p w14:paraId="3A6122A6"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7.09</w:t>
            </w:r>
          </w:p>
        </w:tc>
      </w:tr>
      <w:tr w:rsidR="009E633E" w:rsidRPr="00A8061A" w14:paraId="24DD5A36"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7C813872"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40</w:t>
            </w:r>
          </w:p>
        </w:tc>
        <w:tc>
          <w:tcPr>
            <w:tcW w:w="1955" w:type="dxa"/>
            <w:tcBorders>
              <w:top w:val="nil"/>
              <w:left w:val="nil"/>
              <w:bottom w:val="single" w:sz="4" w:space="0" w:color="auto"/>
              <w:right w:val="single" w:sz="4" w:space="0" w:color="auto"/>
            </w:tcBorders>
            <w:shd w:val="clear" w:color="auto" w:fill="auto"/>
            <w:noWrap/>
            <w:vAlign w:val="bottom"/>
            <w:hideMark/>
          </w:tcPr>
          <w:p w14:paraId="045F659A"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90.50</w:t>
            </w:r>
          </w:p>
        </w:tc>
        <w:tc>
          <w:tcPr>
            <w:tcW w:w="2223" w:type="dxa"/>
            <w:tcBorders>
              <w:top w:val="nil"/>
              <w:left w:val="nil"/>
              <w:bottom w:val="single" w:sz="4" w:space="0" w:color="auto"/>
              <w:right w:val="single" w:sz="4" w:space="0" w:color="auto"/>
            </w:tcBorders>
            <w:shd w:val="clear" w:color="auto" w:fill="auto"/>
            <w:noWrap/>
            <w:vAlign w:val="bottom"/>
            <w:hideMark/>
          </w:tcPr>
          <w:p w14:paraId="5AC985E8"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48.79</w:t>
            </w:r>
          </w:p>
        </w:tc>
        <w:tc>
          <w:tcPr>
            <w:tcW w:w="2177" w:type="dxa"/>
            <w:tcBorders>
              <w:top w:val="nil"/>
              <w:left w:val="nil"/>
              <w:bottom w:val="single" w:sz="4" w:space="0" w:color="auto"/>
              <w:right w:val="single" w:sz="4" w:space="0" w:color="auto"/>
            </w:tcBorders>
            <w:shd w:val="clear" w:color="auto" w:fill="auto"/>
            <w:noWrap/>
            <w:vAlign w:val="bottom"/>
            <w:hideMark/>
          </w:tcPr>
          <w:p w14:paraId="002301A2"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31.00</w:t>
            </w:r>
          </w:p>
        </w:tc>
        <w:tc>
          <w:tcPr>
            <w:tcW w:w="1984" w:type="dxa"/>
            <w:tcBorders>
              <w:top w:val="nil"/>
              <w:left w:val="nil"/>
              <w:bottom w:val="single" w:sz="4" w:space="0" w:color="auto"/>
              <w:right w:val="nil"/>
            </w:tcBorders>
            <w:shd w:val="clear" w:color="auto" w:fill="auto"/>
            <w:noWrap/>
            <w:vAlign w:val="bottom"/>
            <w:hideMark/>
          </w:tcPr>
          <w:p w14:paraId="5A0249FD"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3.61</w:t>
            </w:r>
          </w:p>
        </w:tc>
      </w:tr>
      <w:tr w:rsidR="009E633E" w:rsidRPr="00A8061A" w14:paraId="2EE03506" w14:textId="77777777" w:rsidTr="009E633E">
        <w:trPr>
          <w:trHeight w:val="300"/>
        </w:trPr>
        <w:tc>
          <w:tcPr>
            <w:tcW w:w="733" w:type="dxa"/>
            <w:tcBorders>
              <w:top w:val="nil"/>
              <w:left w:val="nil"/>
              <w:bottom w:val="nil"/>
              <w:right w:val="single" w:sz="4" w:space="0" w:color="auto"/>
            </w:tcBorders>
            <w:shd w:val="clear" w:color="auto" w:fill="auto"/>
            <w:noWrap/>
            <w:vAlign w:val="bottom"/>
            <w:hideMark/>
          </w:tcPr>
          <w:p w14:paraId="5ADA8FAD"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100</w:t>
            </w:r>
          </w:p>
        </w:tc>
        <w:tc>
          <w:tcPr>
            <w:tcW w:w="1955" w:type="dxa"/>
            <w:tcBorders>
              <w:top w:val="nil"/>
              <w:left w:val="nil"/>
              <w:bottom w:val="nil"/>
              <w:right w:val="single" w:sz="4" w:space="0" w:color="auto"/>
            </w:tcBorders>
            <w:shd w:val="clear" w:color="auto" w:fill="auto"/>
            <w:noWrap/>
            <w:vAlign w:val="bottom"/>
            <w:hideMark/>
          </w:tcPr>
          <w:p w14:paraId="0DC6B352"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50.00</w:t>
            </w:r>
          </w:p>
        </w:tc>
        <w:tc>
          <w:tcPr>
            <w:tcW w:w="2223" w:type="dxa"/>
            <w:tcBorders>
              <w:top w:val="nil"/>
              <w:left w:val="nil"/>
              <w:bottom w:val="nil"/>
              <w:right w:val="single" w:sz="4" w:space="0" w:color="auto"/>
            </w:tcBorders>
            <w:shd w:val="clear" w:color="auto" w:fill="auto"/>
            <w:noWrap/>
            <w:vAlign w:val="bottom"/>
            <w:hideMark/>
          </w:tcPr>
          <w:p w14:paraId="1ADA119B"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7.07</w:t>
            </w:r>
          </w:p>
        </w:tc>
        <w:tc>
          <w:tcPr>
            <w:tcW w:w="2177" w:type="dxa"/>
            <w:tcBorders>
              <w:top w:val="nil"/>
              <w:left w:val="nil"/>
              <w:bottom w:val="nil"/>
              <w:right w:val="single" w:sz="4" w:space="0" w:color="auto"/>
            </w:tcBorders>
            <w:shd w:val="clear" w:color="auto" w:fill="auto"/>
            <w:noWrap/>
            <w:vAlign w:val="bottom"/>
            <w:hideMark/>
          </w:tcPr>
          <w:p w14:paraId="3AE21F5B"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24.00</w:t>
            </w:r>
          </w:p>
        </w:tc>
        <w:tc>
          <w:tcPr>
            <w:tcW w:w="1984" w:type="dxa"/>
            <w:tcBorders>
              <w:top w:val="nil"/>
              <w:left w:val="nil"/>
              <w:bottom w:val="nil"/>
              <w:right w:val="nil"/>
            </w:tcBorders>
            <w:shd w:val="clear" w:color="auto" w:fill="auto"/>
            <w:noWrap/>
            <w:vAlign w:val="bottom"/>
            <w:hideMark/>
          </w:tcPr>
          <w:p w14:paraId="0FD9BACE"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1.00</w:t>
            </w:r>
          </w:p>
        </w:tc>
      </w:tr>
      <w:tr w:rsidR="009E633E" w:rsidRPr="00A8061A" w14:paraId="31DAF681" w14:textId="77777777" w:rsidTr="009E633E">
        <w:trPr>
          <w:trHeight w:val="300"/>
        </w:trPr>
        <w:tc>
          <w:tcPr>
            <w:tcW w:w="733" w:type="dxa"/>
            <w:tcBorders>
              <w:top w:val="nil"/>
              <w:left w:val="nil"/>
              <w:bottom w:val="nil"/>
              <w:right w:val="nil"/>
            </w:tcBorders>
            <w:shd w:val="clear" w:color="auto" w:fill="auto"/>
            <w:noWrap/>
            <w:vAlign w:val="bottom"/>
            <w:hideMark/>
          </w:tcPr>
          <w:p w14:paraId="6A5EE5E4"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p>
        </w:tc>
        <w:tc>
          <w:tcPr>
            <w:tcW w:w="1955" w:type="dxa"/>
            <w:tcBorders>
              <w:top w:val="nil"/>
              <w:left w:val="nil"/>
              <w:bottom w:val="nil"/>
              <w:right w:val="nil"/>
            </w:tcBorders>
            <w:shd w:val="clear" w:color="auto" w:fill="auto"/>
            <w:noWrap/>
            <w:vAlign w:val="bottom"/>
            <w:hideMark/>
          </w:tcPr>
          <w:p w14:paraId="55A65D4E" w14:textId="77777777" w:rsidR="009E633E" w:rsidRPr="00A8061A" w:rsidRDefault="009E633E" w:rsidP="009E633E">
            <w:pPr>
              <w:spacing w:after="0" w:line="240" w:lineRule="auto"/>
              <w:rPr>
                <w:rFonts w:ascii="Times New Roman" w:eastAsia="Times New Roman" w:hAnsi="Times New Roman" w:cs="Times New Roman"/>
                <w:sz w:val="20"/>
                <w:szCs w:val="20"/>
                <w:lang w:val="en-US" w:eastAsia="de-DE"/>
              </w:rPr>
            </w:pPr>
          </w:p>
        </w:tc>
        <w:tc>
          <w:tcPr>
            <w:tcW w:w="2223" w:type="dxa"/>
            <w:tcBorders>
              <w:top w:val="nil"/>
              <w:left w:val="nil"/>
              <w:bottom w:val="nil"/>
              <w:right w:val="nil"/>
            </w:tcBorders>
            <w:shd w:val="clear" w:color="auto" w:fill="auto"/>
            <w:noWrap/>
            <w:vAlign w:val="bottom"/>
            <w:hideMark/>
          </w:tcPr>
          <w:p w14:paraId="6A564E61" w14:textId="77777777" w:rsidR="009E633E" w:rsidRPr="00A8061A" w:rsidRDefault="009E633E" w:rsidP="009E633E">
            <w:pPr>
              <w:spacing w:after="0" w:line="240" w:lineRule="auto"/>
              <w:rPr>
                <w:rFonts w:ascii="Times New Roman" w:eastAsia="Times New Roman" w:hAnsi="Times New Roman" w:cs="Times New Roman"/>
                <w:sz w:val="20"/>
                <w:szCs w:val="20"/>
                <w:lang w:val="en-US" w:eastAsia="de-DE"/>
              </w:rPr>
            </w:pPr>
          </w:p>
        </w:tc>
        <w:tc>
          <w:tcPr>
            <w:tcW w:w="2177" w:type="dxa"/>
            <w:tcBorders>
              <w:top w:val="nil"/>
              <w:left w:val="nil"/>
              <w:bottom w:val="nil"/>
              <w:right w:val="nil"/>
            </w:tcBorders>
            <w:shd w:val="clear" w:color="auto" w:fill="auto"/>
            <w:noWrap/>
            <w:vAlign w:val="bottom"/>
            <w:hideMark/>
          </w:tcPr>
          <w:p w14:paraId="0C09BF4D" w14:textId="77777777" w:rsidR="009E633E" w:rsidRPr="00A8061A" w:rsidRDefault="009E633E" w:rsidP="009E633E">
            <w:pPr>
              <w:spacing w:after="0" w:line="240" w:lineRule="auto"/>
              <w:rPr>
                <w:rFonts w:ascii="Times New Roman" w:eastAsia="Times New Roman" w:hAnsi="Times New Roman" w:cs="Times New Roman"/>
                <w:sz w:val="20"/>
                <w:szCs w:val="20"/>
                <w:lang w:val="en-US" w:eastAsia="de-DE"/>
              </w:rPr>
            </w:pPr>
          </w:p>
        </w:tc>
        <w:tc>
          <w:tcPr>
            <w:tcW w:w="1984" w:type="dxa"/>
            <w:tcBorders>
              <w:top w:val="nil"/>
              <w:left w:val="nil"/>
              <w:bottom w:val="nil"/>
              <w:right w:val="nil"/>
            </w:tcBorders>
            <w:shd w:val="clear" w:color="auto" w:fill="auto"/>
            <w:noWrap/>
            <w:vAlign w:val="bottom"/>
            <w:hideMark/>
          </w:tcPr>
          <w:p w14:paraId="6CFC9B33" w14:textId="77777777" w:rsidR="009E633E" w:rsidRPr="00A8061A" w:rsidRDefault="009E633E" w:rsidP="009E633E">
            <w:pPr>
              <w:spacing w:after="0" w:line="240" w:lineRule="auto"/>
              <w:rPr>
                <w:rFonts w:ascii="Times New Roman" w:eastAsia="Times New Roman" w:hAnsi="Times New Roman" w:cs="Times New Roman"/>
                <w:sz w:val="20"/>
                <w:szCs w:val="20"/>
                <w:lang w:val="en-US" w:eastAsia="de-DE"/>
              </w:rPr>
            </w:pPr>
          </w:p>
        </w:tc>
      </w:tr>
      <w:tr w:rsidR="009E633E" w:rsidRPr="00233D48" w14:paraId="3E44A805"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382F79D2" w14:textId="2FBBEC8E"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p>
        </w:tc>
        <w:tc>
          <w:tcPr>
            <w:tcW w:w="4178" w:type="dxa"/>
            <w:gridSpan w:val="2"/>
            <w:tcBorders>
              <w:top w:val="nil"/>
              <w:left w:val="nil"/>
              <w:bottom w:val="single" w:sz="4" w:space="0" w:color="auto"/>
              <w:right w:val="single" w:sz="4" w:space="0" w:color="000000"/>
            </w:tcBorders>
            <w:shd w:val="clear" w:color="auto" w:fill="auto"/>
            <w:noWrap/>
            <w:vAlign w:val="bottom"/>
            <w:hideMark/>
          </w:tcPr>
          <w:p w14:paraId="106147A8"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pLi×AE-VC</w:t>
            </w:r>
          </w:p>
        </w:tc>
        <w:tc>
          <w:tcPr>
            <w:tcW w:w="4161" w:type="dxa"/>
            <w:gridSpan w:val="2"/>
            <w:tcBorders>
              <w:top w:val="nil"/>
              <w:left w:val="nil"/>
              <w:bottom w:val="single" w:sz="4" w:space="0" w:color="auto"/>
              <w:right w:val="nil"/>
            </w:tcBorders>
            <w:shd w:val="clear" w:color="auto" w:fill="auto"/>
            <w:noWrap/>
            <w:vAlign w:val="bottom"/>
            <w:hideMark/>
          </w:tcPr>
          <w:p w14:paraId="7F06ADC0"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AE-VC@Li×AE-VC</w:t>
            </w:r>
          </w:p>
        </w:tc>
      </w:tr>
      <w:tr w:rsidR="009E633E" w:rsidRPr="00A8061A" w14:paraId="39D8413F"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6AEE98A9"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Time</w:t>
            </w:r>
          </w:p>
        </w:tc>
        <w:tc>
          <w:tcPr>
            <w:tcW w:w="1955" w:type="dxa"/>
            <w:tcBorders>
              <w:top w:val="nil"/>
              <w:left w:val="nil"/>
              <w:bottom w:val="single" w:sz="4" w:space="0" w:color="auto"/>
              <w:right w:val="single" w:sz="4" w:space="0" w:color="auto"/>
            </w:tcBorders>
            <w:shd w:val="clear" w:color="auto" w:fill="auto"/>
            <w:noWrap/>
            <w:vAlign w:val="bottom"/>
            <w:hideMark/>
          </w:tcPr>
          <w:p w14:paraId="5E638B38"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R-SEI</w:t>
            </w:r>
          </w:p>
        </w:tc>
        <w:tc>
          <w:tcPr>
            <w:tcW w:w="2223" w:type="dxa"/>
            <w:tcBorders>
              <w:top w:val="nil"/>
              <w:left w:val="nil"/>
              <w:bottom w:val="single" w:sz="4" w:space="0" w:color="auto"/>
              <w:right w:val="single" w:sz="4" w:space="0" w:color="auto"/>
            </w:tcBorders>
            <w:shd w:val="clear" w:color="auto" w:fill="auto"/>
            <w:noWrap/>
            <w:vAlign w:val="bottom"/>
            <w:hideMark/>
          </w:tcPr>
          <w:p w14:paraId="2BE0DF0D" w14:textId="6E742A48" w:rsidR="009E633E" w:rsidRPr="00A8061A" w:rsidRDefault="00FE2805"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Standard deviation</w:t>
            </w:r>
          </w:p>
        </w:tc>
        <w:tc>
          <w:tcPr>
            <w:tcW w:w="2177" w:type="dxa"/>
            <w:tcBorders>
              <w:top w:val="nil"/>
              <w:left w:val="nil"/>
              <w:bottom w:val="single" w:sz="4" w:space="0" w:color="auto"/>
              <w:right w:val="single" w:sz="4" w:space="0" w:color="auto"/>
            </w:tcBorders>
            <w:shd w:val="clear" w:color="auto" w:fill="auto"/>
            <w:noWrap/>
            <w:vAlign w:val="bottom"/>
            <w:hideMark/>
          </w:tcPr>
          <w:p w14:paraId="6CD9CB4A"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R-SEI</w:t>
            </w:r>
          </w:p>
        </w:tc>
        <w:tc>
          <w:tcPr>
            <w:tcW w:w="1984" w:type="dxa"/>
            <w:tcBorders>
              <w:top w:val="nil"/>
              <w:left w:val="nil"/>
              <w:bottom w:val="single" w:sz="4" w:space="0" w:color="auto"/>
              <w:right w:val="nil"/>
            </w:tcBorders>
            <w:shd w:val="clear" w:color="auto" w:fill="auto"/>
            <w:noWrap/>
            <w:vAlign w:val="bottom"/>
            <w:hideMark/>
          </w:tcPr>
          <w:p w14:paraId="7A58C05A" w14:textId="0D4705E0" w:rsidR="009E633E" w:rsidRPr="00A8061A" w:rsidRDefault="00FE2805"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Standard deviation</w:t>
            </w:r>
          </w:p>
        </w:tc>
      </w:tr>
      <w:tr w:rsidR="009E633E" w:rsidRPr="00A8061A" w14:paraId="1A03A6A6"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384BCDCD"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[h]</w:t>
            </w:r>
          </w:p>
        </w:tc>
        <w:tc>
          <w:tcPr>
            <w:tcW w:w="1955" w:type="dxa"/>
            <w:tcBorders>
              <w:top w:val="nil"/>
              <w:left w:val="nil"/>
              <w:bottom w:val="single" w:sz="4" w:space="0" w:color="auto"/>
              <w:right w:val="single" w:sz="4" w:space="0" w:color="auto"/>
            </w:tcBorders>
            <w:shd w:val="clear" w:color="auto" w:fill="auto"/>
            <w:noWrap/>
            <w:vAlign w:val="bottom"/>
            <w:hideMark/>
          </w:tcPr>
          <w:p w14:paraId="4F2308FD"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c>
          <w:tcPr>
            <w:tcW w:w="2223" w:type="dxa"/>
            <w:tcBorders>
              <w:top w:val="nil"/>
              <w:left w:val="nil"/>
              <w:bottom w:val="single" w:sz="4" w:space="0" w:color="auto"/>
              <w:right w:val="single" w:sz="4" w:space="0" w:color="auto"/>
            </w:tcBorders>
            <w:shd w:val="clear" w:color="auto" w:fill="auto"/>
            <w:noWrap/>
            <w:vAlign w:val="bottom"/>
            <w:hideMark/>
          </w:tcPr>
          <w:p w14:paraId="0E1CB1BF"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c>
          <w:tcPr>
            <w:tcW w:w="2177" w:type="dxa"/>
            <w:tcBorders>
              <w:top w:val="nil"/>
              <w:left w:val="nil"/>
              <w:bottom w:val="single" w:sz="4" w:space="0" w:color="auto"/>
              <w:right w:val="single" w:sz="4" w:space="0" w:color="auto"/>
            </w:tcBorders>
            <w:shd w:val="clear" w:color="auto" w:fill="auto"/>
            <w:noWrap/>
            <w:vAlign w:val="bottom"/>
            <w:hideMark/>
          </w:tcPr>
          <w:p w14:paraId="7DDBAC13" w14:textId="44E63B98"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00912A9E" w:rsidRPr="00A8061A">
              <w:rPr>
                <w:rFonts w:ascii="Times New Roman" w:eastAsia="Times New Roman" w:hAnsi="Times New Roman" w:cs="Times New Roman"/>
                <w:b/>
                <w:color w:val="000000"/>
                <w:sz w:val="20"/>
                <w:szCs w:val="20"/>
                <w:lang w:val="en-US" w:eastAsia="de-DE"/>
              </w:rPr>
              <w:t>]</w:t>
            </w:r>
          </w:p>
        </w:tc>
        <w:tc>
          <w:tcPr>
            <w:tcW w:w="1984" w:type="dxa"/>
            <w:tcBorders>
              <w:top w:val="nil"/>
              <w:left w:val="nil"/>
              <w:bottom w:val="single" w:sz="4" w:space="0" w:color="auto"/>
              <w:right w:val="nil"/>
            </w:tcBorders>
            <w:shd w:val="clear" w:color="auto" w:fill="auto"/>
            <w:noWrap/>
            <w:vAlign w:val="bottom"/>
            <w:hideMark/>
          </w:tcPr>
          <w:p w14:paraId="6F653DE0"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r>
      <w:tr w:rsidR="009E633E" w:rsidRPr="00A8061A" w14:paraId="0188DA57"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191CF3EA"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-12</w:t>
            </w:r>
          </w:p>
        </w:tc>
        <w:tc>
          <w:tcPr>
            <w:tcW w:w="1955" w:type="dxa"/>
            <w:tcBorders>
              <w:top w:val="nil"/>
              <w:left w:val="nil"/>
              <w:bottom w:val="single" w:sz="4" w:space="0" w:color="auto"/>
              <w:right w:val="single" w:sz="4" w:space="0" w:color="auto"/>
            </w:tcBorders>
            <w:shd w:val="clear" w:color="auto" w:fill="auto"/>
            <w:noWrap/>
            <w:vAlign w:val="bottom"/>
            <w:hideMark/>
          </w:tcPr>
          <w:p w14:paraId="06C62809"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535.00</w:t>
            </w:r>
          </w:p>
        </w:tc>
        <w:tc>
          <w:tcPr>
            <w:tcW w:w="2223" w:type="dxa"/>
            <w:tcBorders>
              <w:top w:val="nil"/>
              <w:left w:val="nil"/>
              <w:bottom w:val="single" w:sz="4" w:space="0" w:color="auto"/>
              <w:right w:val="single" w:sz="4" w:space="0" w:color="auto"/>
            </w:tcBorders>
            <w:shd w:val="clear" w:color="auto" w:fill="auto"/>
            <w:noWrap/>
            <w:vAlign w:val="bottom"/>
            <w:hideMark/>
          </w:tcPr>
          <w:p w14:paraId="7AFA9471"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86.63</w:t>
            </w:r>
          </w:p>
        </w:tc>
        <w:tc>
          <w:tcPr>
            <w:tcW w:w="2177" w:type="dxa"/>
            <w:tcBorders>
              <w:top w:val="nil"/>
              <w:left w:val="nil"/>
              <w:bottom w:val="single" w:sz="4" w:space="0" w:color="auto"/>
              <w:right w:val="single" w:sz="4" w:space="0" w:color="auto"/>
            </w:tcBorders>
            <w:shd w:val="clear" w:color="auto" w:fill="auto"/>
            <w:noWrap/>
            <w:vAlign w:val="bottom"/>
            <w:hideMark/>
          </w:tcPr>
          <w:p w14:paraId="7A1DB593"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126.50</w:t>
            </w:r>
          </w:p>
        </w:tc>
        <w:tc>
          <w:tcPr>
            <w:tcW w:w="1984" w:type="dxa"/>
            <w:tcBorders>
              <w:top w:val="nil"/>
              <w:left w:val="nil"/>
              <w:bottom w:val="single" w:sz="4" w:space="0" w:color="auto"/>
              <w:right w:val="nil"/>
            </w:tcBorders>
            <w:shd w:val="clear" w:color="auto" w:fill="auto"/>
            <w:noWrap/>
            <w:vAlign w:val="bottom"/>
            <w:hideMark/>
          </w:tcPr>
          <w:p w14:paraId="60CBB26D"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9.19</w:t>
            </w:r>
          </w:p>
        </w:tc>
      </w:tr>
      <w:tr w:rsidR="009E633E" w:rsidRPr="00A8061A" w14:paraId="7E38D576"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7A2CEDCE"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0</w:t>
            </w:r>
          </w:p>
        </w:tc>
        <w:tc>
          <w:tcPr>
            <w:tcW w:w="1955" w:type="dxa"/>
            <w:tcBorders>
              <w:top w:val="nil"/>
              <w:left w:val="nil"/>
              <w:bottom w:val="single" w:sz="4" w:space="0" w:color="auto"/>
              <w:right w:val="single" w:sz="4" w:space="0" w:color="auto"/>
            </w:tcBorders>
            <w:shd w:val="clear" w:color="auto" w:fill="auto"/>
            <w:noWrap/>
            <w:vAlign w:val="bottom"/>
            <w:hideMark/>
          </w:tcPr>
          <w:p w14:paraId="28ABEC81"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670.00</w:t>
            </w:r>
          </w:p>
        </w:tc>
        <w:tc>
          <w:tcPr>
            <w:tcW w:w="2223" w:type="dxa"/>
            <w:tcBorders>
              <w:top w:val="nil"/>
              <w:left w:val="nil"/>
              <w:bottom w:val="single" w:sz="4" w:space="0" w:color="auto"/>
              <w:right w:val="single" w:sz="4" w:space="0" w:color="auto"/>
            </w:tcBorders>
            <w:shd w:val="clear" w:color="auto" w:fill="auto"/>
            <w:noWrap/>
            <w:vAlign w:val="bottom"/>
            <w:hideMark/>
          </w:tcPr>
          <w:p w14:paraId="669CC8D5"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113.25</w:t>
            </w:r>
          </w:p>
        </w:tc>
        <w:tc>
          <w:tcPr>
            <w:tcW w:w="2177" w:type="dxa"/>
            <w:tcBorders>
              <w:top w:val="nil"/>
              <w:left w:val="nil"/>
              <w:bottom w:val="single" w:sz="4" w:space="0" w:color="auto"/>
              <w:right w:val="single" w:sz="4" w:space="0" w:color="auto"/>
            </w:tcBorders>
            <w:shd w:val="clear" w:color="auto" w:fill="auto"/>
            <w:noWrap/>
            <w:vAlign w:val="bottom"/>
            <w:hideMark/>
          </w:tcPr>
          <w:p w14:paraId="27D18785"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242.67</w:t>
            </w:r>
          </w:p>
        </w:tc>
        <w:tc>
          <w:tcPr>
            <w:tcW w:w="1984" w:type="dxa"/>
            <w:tcBorders>
              <w:top w:val="nil"/>
              <w:left w:val="nil"/>
              <w:bottom w:val="single" w:sz="4" w:space="0" w:color="auto"/>
              <w:right w:val="nil"/>
            </w:tcBorders>
            <w:shd w:val="clear" w:color="auto" w:fill="auto"/>
            <w:noWrap/>
            <w:vAlign w:val="bottom"/>
            <w:hideMark/>
          </w:tcPr>
          <w:p w14:paraId="2C48C1A0"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43.55</w:t>
            </w:r>
          </w:p>
        </w:tc>
      </w:tr>
      <w:tr w:rsidR="009E633E" w:rsidRPr="00A8061A" w14:paraId="37EC72D5"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656214DD"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10</w:t>
            </w:r>
          </w:p>
        </w:tc>
        <w:tc>
          <w:tcPr>
            <w:tcW w:w="1955" w:type="dxa"/>
            <w:tcBorders>
              <w:top w:val="nil"/>
              <w:left w:val="nil"/>
              <w:bottom w:val="single" w:sz="4" w:space="0" w:color="auto"/>
              <w:right w:val="single" w:sz="4" w:space="0" w:color="auto"/>
            </w:tcBorders>
            <w:shd w:val="clear" w:color="auto" w:fill="auto"/>
            <w:noWrap/>
            <w:vAlign w:val="bottom"/>
            <w:hideMark/>
          </w:tcPr>
          <w:p w14:paraId="7EC74C01"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262.00</w:t>
            </w:r>
          </w:p>
        </w:tc>
        <w:tc>
          <w:tcPr>
            <w:tcW w:w="2223" w:type="dxa"/>
            <w:tcBorders>
              <w:top w:val="nil"/>
              <w:left w:val="nil"/>
              <w:bottom w:val="single" w:sz="4" w:space="0" w:color="auto"/>
              <w:right w:val="single" w:sz="4" w:space="0" w:color="auto"/>
            </w:tcBorders>
            <w:shd w:val="clear" w:color="auto" w:fill="auto"/>
            <w:noWrap/>
            <w:vAlign w:val="bottom"/>
            <w:hideMark/>
          </w:tcPr>
          <w:p w14:paraId="3EBBCDE1"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59.15</w:t>
            </w:r>
          </w:p>
        </w:tc>
        <w:tc>
          <w:tcPr>
            <w:tcW w:w="2177" w:type="dxa"/>
            <w:tcBorders>
              <w:top w:val="nil"/>
              <w:left w:val="nil"/>
              <w:bottom w:val="single" w:sz="4" w:space="0" w:color="auto"/>
              <w:right w:val="single" w:sz="4" w:space="0" w:color="auto"/>
            </w:tcBorders>
            <w:shd w:val="clear" w:color="auto" w:fill="auto"/>
            <w:noWrap/>
            <w:vAlign w:val="bottom"/>
            <w:hideMark/>
          </w:tcPr>
          <w:p w14:paraId="45D612F8"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149.00</w:t>
            </w:r>
          </w:p>
        </w:tc>
        <w:tc>
          <w:tcPr>
            <w:tcW w:w="1984" w:type="dxa"/>
            <w:tcBorders>
              <w:top w:val="nil"/>
              <w:left w:val="nil"/>
              <w:bottom w:val="single" w:sz="4" w:space="0" w:color="auto"/>
              <w:right w:val="nil"/>
            </w:tcBorders>
            <w:shd w:val="clear" w:color="auto" w:fill="auto"/>
            <w:noWrap/>
            <w:vAlign w:val="bottom"/>
            <w:hideMark/>
          </w:tcPr>
          <w:p w14:paraId="40A292F4"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5.57</w:t>
            </w:r>
          </w:p>
        </w:tc>
      </w:tr>
      <w:tr w:rsidR="009E633E" w:rsidRPr="00A8061A" w14:paraId="34ACD4DC"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04FE2734"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40</w:t>
            </w:r>
          </w:p>
        </w:tc>
        <w:tc>
          <w:tcPr>
            <w:tcW w:w="1955" w:type="dxa"/>
            <w:tcBorders>
              <w:top w:val="nil"/>
              <w:left w:val="nil"/>
              <w:bottom w:val="single" w:sz="4" w:space="0" w:color="auto"/>
              <w:right w:val="single" w:sz="4" w:space="0" w:color="auto"/>
            </w:tcBorders>
            <w:shd w:val="clear" w:color="auto" w:fill="auto"/>
            <w:noWrap/>
            <w:vAlign w:val="bottom"/>
            <w:hideMark/>
          </w:tcPr>
          <w:p w14:paraId="2532B6DB"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198.00</w:t>
            </w:r>
          </w:p>
        </w:tc>
        <w:tc>
          <w:tcPr>
            <w:tcW w:w="2223" w:type="dxa"/>
            <w:tcBorders>
              <w:top w:val="nil"/>
              <w:left w:val="nil"/>
              <w:bottom w:val="single" w:sz="4" w:space="0" w:color="auto"/>
              <w:right w:val="single" w:sz="4" w:space="0" w:color="auto"/>
            </w:tcBorders>
            <w:shd w:val="clear" w:color="auto" w:fill="auto"/>
            <w:noWrap/>
            <w:vAlign w:val="bottom"/>
            <w:hideMark/>
          </w:tcPr>
          <w:p w14:paraId="259DB58B"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31.05</w:t>
            </w:r>
          </w:p>
        </w:tc>
        <w:tc>
          <w:tcPr>
            <w:tcW w:w="2177" w:type="dxa"/>
            <w:tcBorders>
              <w:top w:val="nil"/>
              <w:left w:val="nil"/>
              <w:bottom w:val="single" w:sz="4" w:space="0" w:color="auto"/>
              <w:right w:val="single" w:sz="4" w:space="0" w:color="auto"/>
            </w:tcBorders>
            <w:shd w:val="clear" w:color="auto" w:fill="auto"/>
            <w:noWrap/>
            <w:vAlign w:val="bottom"/>
            <w:hideMark/>
          </w:tcPr>
          <w:p w14:paraId="2E4A6200"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125.00</w:t>
            </w:r>
          </w:p>
        </w:tc>
        <w:tc>
          <w:tcPr>
            <w:tcW w:w="1984" w:type="dxa"/>
            <w:tcBorders>
              <w:top w:val="nil"/>
              <w:left w:val="nil"/>
              <w:bottom w:val="single" w:sz="4" w:space="0" w:color="auto"/>
              <w:right w:val="nil"/>
            </w:tcBorders>
            <w:shd w:val="clear" w:color="auto" w:fill="auto"/>
            <w:noWrap/>
            <w:vAlign w:val="bottom"/>
            <w:hideMark/>
          </w:tcPr>
          <w:p w14:paraId="769E5EEE"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13.23</w:t>
            </w:r>
          </w:p>
        </w:tc>
      </w:tr>
      <w:tr w:rsidR="009E633E" w:rsidRPr="00A8061A" w14:paraId="4F7FD47A" w14:textId="77777777" w:rsidTr="009E633E">
        <w:trPr>
          <w:trHeight w:val="300"/>
        </w:trPr>
        <w:tc>
          <w:tcPr>
            <w:tcW w:w="733" w:type="dxa"/>
            <w:tcBorders>
              <w:top w:val="nil"/>
              <w:left w:val="nil"/>
              <w:bottom w:val="nil"/>
              <w:right w:val="single" w:sz="4" w:space="0" w:color="auto"/>
            </w:tcBorders>
            <w:shd w:val="clear" w:color="auto" w:fill="auto"/>
            <w:noWrap/>
            <w:vAlign w:val="bottom"/>
            <w:hideMark/>
          </w:tcPr>
          <w:p w14:paraId="656ED443"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100</w:t>
            </w:r>
          </w:p>
        </w:tc>
        <w:tc>
          <w:tcPr>
            <w:tcW w:w="1955" w:type="dxa"/>
            <w:tcBorders>
              <w:top w:val="nil"/>
              <w:left w:val="nil"/>
              <w:bottom w:val="nil"/>
              <w:right w:val="single" w:sz="4" w:space="0" w:color="auto"/>
            </w:tcBorders>
            <w:shd w:val="clear" w:color="auto" w:fill="auto"/>
            <w:noWrap/>
            <w:vAlign w:val="bottom"/>
            <w:hideMark/>
          </w:tcPr>
          <w:p w14:paraId="67D1EE19"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134.67</w:t>
            </w:r>
          </w:p>
        </w:tc>
        <w:tc>
          <w:tcPr>
            <w:tcW w:w="2223" w:type="dxa"/>
            <w:tcBorders>
              <w:top w:val="nil"/>
              <w:left w:val="nil"/>
              <w:bottom w:val="nil"/>
              <w:right w:val="single" w:sz="4" w:space="0" w:color="auto"/>
            </w:tcBorders>
            <w:shd w:val="clear" w:color="auto" w:fill="auto"/>
            <w:noWrap/>
            <w:vAlign w:val="bottom"/>
            <w:hideMark/>
          </w:tcPr>
          <w:p w14:paraId="7BA8142A"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20.43</w:t>
            </w:r>
          </w:p>
        </w:tc>
        <w:tc>
          <w:tcPr>
            <w:tcW w:w="2177" w:type="dxa"/>
            <w:tcBorders>
              <w:top w:val="nil"/>
              <w:left w:val="nil"/>
              <w:bottom w:val="nil"/>
              <w:right w:val="single" w:sz="4" w:space="0" w:color="auto"/>
            </w:tcBorders>
            <w:shd w:val="clear" w:color="auto" w:fill="auto"/>
            <w:noWrap/>
            <w:vAlign w:val="bottom"/>
            <w:hideMark/>
          </w:tcPr>
          <w:p w14:paraId="7A1A7C5A"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107.67</w:t>
            </w:r>
          </w:p>
        </w:tc>
        <w:tc>
          <w:tcPr>
            <w:tcW w:w="1984" w:type="dxa"/>
            <w:tcBorders>
              <w:top w:val="nil"/>
              <w:left w:val="nil"/>
              <w:bottom w:val="nil"/>
              <w:right w:val="nil"/>
            </w:tcBorders>
            <w:shd w:val="clear" w:color="auto" w:fill="auto"/>
            <w:noWrap/>
            <w:vAlign w:val="bottom"/>
            <w:hideMark/>
          </w:tcPr>
          <w:p w14:paraId="65217484"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7.51</w:t>
            </w:r>
          </w:p>
        </w:tc>
      </w:tr>
      <w:tr w:rsidR="009E633E" w:rsidRPr="00A8061A" w14:paraId="05A8B78D" w14:textId="77777777" w:rsidTr="009E633E">
        <w:trPr>
          <w:trHeight w:val="300"/>
        </w:trPr>
        <w:tc>
          <w:tcPr>
            <w:tcW w:w="733" w:type="dxa"/>
            <w:tcBorders>
              <w:top w:val="nil"/>
              <w:left w:val="nil"/>
              <w:bottom w:val="nil"/>
              <w:right w:val="nil"/>
            </w:tcBorders>
            <w:shd w:val="clear" w:color="auto" w:fill="auto"/>
            <w:noWrap/>
            <w:vAlign w:val="bottom"/>
            <w:hideMark/>
          </w:tcPr>
          <w:p w14:paraId="76073511"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p>
        </w:tc>
        <w:tc>
          <w:tcPr>
            <w:tcW w:w="1955" w:type="dxa"/>
            <w:tcBorders>
              <w:top w:val="nil"/>
              <w:left w:val="nil"/>
              <w:bottom w:val="nil"/>
              <w:right w:val="nil"/>
            </w:tcBorders>
            <w:shd w:val="clear" w:color="auto" w:fill="auto"/>
            <w:noWrap/>
            <w:vAlign w:val="bottom"/>
            <w:hideMark/>
          </w:tcPr>
          <w:p w14:paraId="0D8BCAD5" w14:textId="77777777" w:rsidR="009E633E" w:rsidRPr="00A8061A" w:rsidRDefault="009E633E" w:rsidP="009E633E">
            <w:pPr>
              <w:spacing w:after="0" w:line="240" w:lineRule="auto"/>
              <w:rPr>
                <w:rFonts w:ascii="Times New Roman" w:eastAsia="Times New Roman" w:hAnsi="Times New Roman" w:cs="Times New Roman"/>
                <w:sz w:val="20"/>
                <w:szCs w:val="20"/>
                <w:lang w:val="en-US" w:eastAsia="de-DE"/>
              </w:rPr>
            </w:pPr>
          </w:p>
        </w:tc>
        <w:tc>
          <w:tcPr>
            <w:tcW w:w="2223" w:type="dxa"/>
            <w:tcBorders>
              <w:top w:val="nil"/>
              <w:left w:val="nil"/>
              <w:bottom w:val="nil"/>
              <w:right w:val="nil"/>
            </w:tcBorders>
            <w:shd w:val="clear" w:color="auto" w:fill="auto"/>
            <w:noWrap/>
            <w:vAlign w:val="bottom"/>
            <w:hideMark/>
          </w:tcPr>
          <w:p w14:paraId="46F11862" w14:textId="77777777" w:rsidR="009E633E" w:rsidRPr="00A8061A" w:rsidRDefault="009E633E" w:rsidP="009E633E">
            <w:pPr>
              <w:spacing w:after="0" w:line="240" w:lineRule="auto"/>
              <w:rPr>
                <w:rFonts w:ascii="Times New Roman" w:eastAsia="Times New Roman" w:hAnsi="Times New Roman" w:cs="Times New Roman"/>
                <w:sz w:val="20"/>
                <w:szCs w:val="20"/>
                <w:lang w:val="en-US" w:eastAsia="de-DE"/>
              </w:rPr>
            </w:pPr>
          </w:p>
        </w:tc>
        <w:tc>
          <w:tcPr>
            <w:tcW w:w="2177" w:type="dxa"/>
            <w:tcBorders>
              <w:top w:val="nil"/>
              <w:left w:val="nil"/>
              <w:bottom w:val="nil"/>
              <w:right w:val="nil"/>
            </w:tcBorders>
            <w:shd w:val="clear" w:color="auto" w:fill="auto"/>
            <w:noWrap/>
            <w:vAlign w:val="bottom"/>
            <w:hideMark/>
          </w:tcPr>
          <w:p w14:paraId="2A413AA0" w14:textId="77777777" w:rsidR="009E633E" w:rsidRPr="00A8061A" w:rsidRDefault="009E633E" w:rsidP="009E633E">
            <w:pPr>
              <w:spacing w:after="0" w:line="240" w:lineRule="auto"/>
              <w:rPr>
                <w:rFonts w:ascii="Times New Roman" w:eastAsia="Times New Roman" w:hAnsi="Times New Roman" w:cs="Times New Roman"/>
                <w:sz w:val="20"/>
                <w:szCs w:val="20"/>
                <w:lang w:val="en-US" w:eastAsia="de-DE"/>
              </w:rPr>
            </w:pPr>
          </w:p>
        </w:tc>
        <w:tc>
          <w:tcPr>
            <w:tcW w:w="1984" w:type="dxa"/>
            <w:tcBorders>
              <w:top w:val="nil"/>
              <w:left w:val="nil"/>
              <w:bottom w:val="nil"/>
              <w:right w:val="nil"/>
            </w:tcBorders>
            <w:shd w:val="clear" w:color="auto" w:fill="auto"/>
            <w:noWrap/>
            <w:vAlign w:val="bottom"/>
            <w:hideMark/>
          </w:tcPr>
          <w:p w14:paraId="2372C97E" w14:textId="77777777" w:rsidR="009E633E" w:rsidRPr="00A8061A" w:rsidRDefault="009E633E" w:rsidP="009E633E">
            <w:pPr>
              <w:spacing w:after="0" w:line="240" w:lineRule="auto"/>
              <w:rPr>
                <w:rFonts w:ascii="Times New Roman" w:eastAsia="Times New Roman" w:hAnsi="Times New Roman" w:cs="Times New Roman"/>
                <w:sz w:val="20"/>
                <w:szCs w:val="20"/>
                <w:lang w:val="en-US" w:eastAsia="de-DE"/>
              </w:rPr>
            </w:pPr>
          </w:p>
        </w:tc>
      </w:tr>
      <w:tr w:rsidR="009E633E" w:rsidRPr="00233D48" w14:paraId="1CB2EE3A"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3496485B" w14:textId="576EDFAC"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p>
        </w:tc>
        <w:tc>
          <w:tcPr>
            <w:tcW w:w="4178" w:type="dxa"/>
            <w:gridSpan w:val="2"/>
            <w:tcBorders>
              <w:top w:val="nil"/>
              <w:left w:val="nil"/>
              <w:bottom w:val="single" w:sz="4" w:space="0" w:color="auto"/>
              <w:right w:val="single" w:sz="4" w:space="0" w:color="000000"/>
            </w:tcBorders>
            <w:shd w:val="clear" w:color="auto" w:fill="auto"/>
            <w:noWrap/>
            <w:vAlign w:val="bottom"/>
            <w:hideMark/>
          </w:tcPr>
          <w:p w14:paraId="0462A461"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pLi×AE-FEC</w:t>
            </w:r>
          </w:p>
        </w:tc>
        <w:tc>
          <w:tcPr>
            <w:tcW w:w="4161" w:type="dxa"/>
            <w:gridSpan w:val="2"/>
            <w:tcBorders>
              <w:top w:val="nil"/>
              <w:left w:val="nil"/>
              <w:bottom w:val="single" w:sz="4" w:space="0" w:color="auto"/>
              <w:right w:val="nil"/>
            </w:tcBorders>
            <w:shd w:val="clear" w:color="auto" w:fill="auto"/>
            <w:noWrap/>
            <w:vAlign w:val="bottom"/>
            <w:hideMark/>
          </w:tcPr>
          <w:p w14:paraId="5748BE21"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AE-FEC@Li×AE-FEC</w:t>
            </w:r>
          </w:p>
        </w:tc>
      </w:tr>
      <w:tr w:rsidR="009E633E" w:rsidRPr="00A8061A" w14:paraId="6EA2407C"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1769F2AD"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Time</w:t>
            </w:r>
          </w:p>
        </w:tc>
        <w:tc>
          <w:tcPr>
            <w:tcW w:w="1955" w:type="dxa"/>
            <w:tcBorders>
              <w:top w:val="nil"/>
              <w:left w:val="nil"/>
              <w:bottom w:val="single" w:sz="4" w:space="0" w:color="auto"/>
              <w:right w:val="single" w:sz="4" w:space="0" w:color="auto"/>
            </w:tcBorders>
            <w:shd w:val="clear" w:color="auto" w:fill="auto"/>
            <w:noWrap/>
            <w:vAlign w:val="bottom"/>
            <w:hideMark/>
          </w:tcPr>
          <w:p w14:paraId="568F94E3"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R-SEI</w:t>
            </w:r>
          </w:p>
        </w:tc>
        <w:tc>
          <w:tcPr>
            <w:tcW w:w="2223" w:type="dxa"/>
            <w:tcBorders>
              <w:top w:val="nil"/>
              <w:left w:val="nil"/>
              <w:bottom w:val="single" w:sz="4" w:space="0" w:color="auto"/>
              <w:right w:val="single" w:sz="4" w:space="0" w:color="auto"/>
            </w:tcBorders>
            <w:shd w:val="clear" w:color="auto" w:fill="auto"/>
            <w:noWrap/>
            <w:vAlign w:val="bottom"/>
            <w:hideMark/>
          </w:tcPr>
          <w:p w14:paraId="5D4FB196" w14:textId="48F2A535" w:rsidR="009E633E" w:rsidRPr="00A8061A" w:rsidRDefault="00FE2805"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Standard deviation</w:t>
            </w:r>
          </w:p>
        </w:tc>
        <w:tc>
          <w:tcPr>
            <w:tcW w:w="2177" w:type="dxa"/>
            <w:tcBorders>
              <w:top w:val="nil"/>
              <w:left w:val="nil"/>
              <w:bottom w:val="single" w:sz="4" w:space="0" w:color="auto"/>
              <w:right w:val="single" w:sz="4" w:space="0" w:color="auto"/>
            </w:tcBorders>
            <w:shd w:val="clear" w:color="auto" w:fill="auto"/>
            <w:noWrap/>
            <w:vAlign w:val="bottom"/>
            <w:hideMark/>
          </w:tcPr>
          <w:p w14:paraId="555CC1A0"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R-SEI</w:t>
            </w:r>
          </w:p>
        </w:tc>
        <w:tc>
          <w:tcPr>
            <w:tcW w:w="1984" w:type="dxa"/>
            <w:tcBorders>
              <w:top w:val="nil"/>
              <w:left w:val="nil"/>
              <w:bottom w:val="single" w:sz="4" w:space="0" w:color="auto"/>
              <w:right w:val="nil"/>
            </w:tcBorders>
            <w:shd w:val="clear" w:color="auto" w:fill="auto"/>
            <w:noWrap/>
            <w:vAlign w:val="bottom"/>
            <w:hideMark/>
          </w:tcPr>
          <w:p w14:paraId="627CF3CF" w14:textId="0F761AFA" w:rsidR="009E633E" w:rsidRPr="00A8061A" w:rsidRDefault="00FE2805"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Standard deviation</w:t>
            </w:r>
          </w:p>
        </w:tc>
      </w:tr>
      <w:tr w:rsidR="009E633E" w:rsidRPr="00A8061A" w14:paraId="3200AD1E"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6190D1A7"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[h]</w:t>
            </w:r>
          </w:p>
        </w:tc>
        <w:tc>
          <w:tcPr>
            <w:tcW w:w="1955" w:type="dxa"/>
            <w:tcBorders>
              <w:top w:val="nil"/>
              <w:left w:val="nil"/>
              <w:bottom w:val="single" w:sz="4" w:space="0" w:color="auto"/>
              <w:right w:val="single" w:sz="4" w:space="0" w:color="auto"/>
            </w:tcBorders>
            <w:shd w:val="clear" w:color="auto" w:fill="auto"/>
            <w:noWrap/>
            <w:vAlign w:val="bottom"/>
            <w:hideMark/>
          </w:tcPr>
          <w:p w14:paraId="0BC7D035"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c>
          <w:tcPr>
            <w:tcW w:w="2223" w:type="dxa"/>
            <w:tcBorders>
              <w:top w:val="nil"/>
              <w:left w:val="nil"/>
              <w:bottom w:val="single" w:sz="4" w:space="0" w:color="auto"/>
              <w:right w:val="single" w:sz="4" w:space="0" w:color="auto"/>
            </w:tcBorders>
            <w:shd w:val="clear" w:color="auto" w:fill="auto"/>
            <w:noWrap/>
            <w:vAlign w:val="bottom"/>
            <w:hideMark/>
          </w:tcPr>
          <w:p w14:paraId="0B8B413F"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c>
          <w:tcPr>
            <w:tcW w:w="2177" w:type="dxa"/>
            <w:tcBorders>
              <w:top w:val="nil"/>
              <w:left w:val="nil"/>
              <w:bottom w:val="single" w:sz="4" w:space="0" w:color="auto"/>
              <w:right w:val="single" w:sz="4" w:space="0" w:color="auto"/>
            </w:tcBorders>
            <w:shd w:val="clear" w:color="auto" w:fill="auto"/>
            <w:noWrap/>
            <w:vAlign w:val="bottom"/>
            <w:hideMark/>
          </w:tcPr>
          <w:p w14:paraId="7852C601"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c>
          <w:tcPr>
            <w:tcW w:w="1984" w:type="dxa"/>
            <w:tcBorders>
              <w:top w:val="nil"/>
              <w:left w:val="nil"/>
              <w:bottom w:val="single" w:sz="4" w:space="0" w:color="auto"/>
              <w:right w:val="nil"/>
            </w:tcBorders>
            <w:shd w:val="clear" w:color="auto" w:fill="auto"/>
            <w:noWrap/>
            <w:vAlign w:val="bottom"/>
            <w:hideMark/>
          </w:tcPr>
          <w:p w14:paraId="1A831671" w14:textId="77777777" w:rsidR="009E633E" w:rsidRPr="00A8061A" w:rsidRDefault="009E633E" w:rsidP="00282BCF">
            <w:pPr>
              <w:spacing w:after="0" w:line="240" w:lineRule="auto"/>
              <w:jc w:val="center"/>
              <w:rPr>
                <w:rFonts w:ascii="Times New Roman" w:eastAsia="Times New Roman" w:hAnsi="Times New Roman" w:cs="Times New Roman"/>
                <w:b/>
                <w:color w:val="000000"/>
                <w:sz w:val="20"/>
                <w:szCs w:val="20"/>
                <w:lang w:val="en-US" w:eastAsia="de-DE"/>
              </w:rPr>
            </w:pPr>
            <w:r w:rsidRPr="00A8061A">
              <w:rPr>
                <w:rFonts w:ascii="Times New Roman" w:eastAsia="Times New Roman" w:hAnsi="Times New Roman" w:cs="Times New Roman"/>
                <w:b/>
                <w:color w:val="000000"/>
                <w:sz w:val="20"/>
                <w:szCs w:val="20"/>
                <w:lang w:val="en-US" w:eastAsia="de-DE"/>
              </w:rPr>
              <w:t>[</w:t>
            </w:r>
            <w:r w:rsidRPr="00A8061A">
              <w:rPr>
                <w:rFonts w:ascii="Times New Roman" w:eastAsia="Times New Roman" w:hAnsi="Times New Roman" w:cs="Times New Roman"/>
                <w:b/>
                <w:color w:val="000000"/>
                <w:sz w:val="20"/>
                <w:szCs w:val="20"/>
                <w:lang w:val="en-US" w:eastAsia="de-DE"/>
              </w:rPr>
              <w:sym w:font="Symbol" w:char="F057"/>
            </w:r>
            <w:r w:rsidRPr="00A8061A">
              <w:rPr>
                <w:rFonts w:ascii="Times New Roman" w:eastAsia="Times New Roman" w:hAnsi="Times New Roman" w:cs="Times New Roman"/>
                <w:b/>
                <w:color w:val="000000"/>
                <w:sz w:val="20"/>
                <w:szCs w:val="20"/>
                <w:lang w:val="en-US" w:eastAsia="de-DE"/>
              </w:rPr>
              <w:t>]</w:t>
            </w:r>
          </w:p>
        </w:tc>
      </w:tr>
      <w:tr w:rsidR="009E633E" w:rsidRPr="00A8061A" w14:paraId="50117F61"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5EFE16FD"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-12</w:t>
            </w:r>
          </w:p>
        </w:tc>
        <w:tc>
          <w:tcPr>
            <w:tcW w:w="1955" w:type="dxa"/>
            <w:tcBorders>
              <w:top w:val="nil"/>
              <w:left w:val="nil"/>
              <w:bottom w:val="single" w:sz="4" w:space="0" w:color="auto"/>
              <w:right w:val="single" w:sz="4" w:space="0" w:color="auto"/>
            </w:tcBorders>
            <w:shd w:val="clear" w:color="auto" w:fill="auto"/>
            <w:noWrap/>
            <w:vAlign w:val="bottom"/>
            <w:hideMark/>
          </w:tcPr>
          <w:p w14:paraId="54C4BF80"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401.00</w:t>
            </w:r>
          </w:p>
        </w:tc>
        <w:tc>
          <w:tcPr>
            <w:tcW w:w="2223" w:type="dxa"/>
            <w:tcBorders>
              <w:top w:val="nil"/>
              <w:left w:val="nil"/>
              <w:bottom w:val="single" w:sz="4" w:space="0" w:color="auto"/>
              <w:right w:val="single" w:sz="4" w:space="0" w:color="auto"/>
            </w:tcBorders>
            <w:shd w:val="clear" w:color="auto" w:fill="auto"/>
            <w:noWrap/>
            <w:vAlign w:val="bottom"/>
            <w:hideMark/>
          </w:tcPr>
          <w:p w14:paraId="1AF3784E"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17.52</w:t>
            </w:r>
          </w:p>
        </w:tc>
        <w:tc>
          <w:tcPr>
            <w:tcW w:w="2177" w:type="dxa"/>
            <w:tcBorders>
              <w:top w:val="nil"/>
              <w:left w:val="nil"/>
              <w:bottom w:val="single" w:sz="4" w:space="0" w:color="auto"/>
              <w:right w:val="single" w:sz="4" w:space="0" w:color="auto"/>
            </w:tcBorders>
            <w:shd w:val="clear" w:color="auto" w:fill="auto"/>
            <w:noWrap/>
            <w:vAlign w:val="bottom"/>
            <w:hideMark/>
          </w:tcPr>
          <w:p w14:paraId="095B03E8"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39.95</w:t>
            </w:r>
          </w:p>
        </w:tc>
        <w:tc>
          <w:tcPr>
            <w:tcW w:w="1984" w:type="dxa"/>
            <w:tcBorders>
              <w:top w:val="nil"/>
              <w:left w:val="nil"/>
              <w:bottom w:val="single" w:sz="4" w:space="0" w:color="auto"/>
              <w:right w:val="nil"/>
            </w:tcBorders>
            <w:shd w:val="clear" w:color="auto" w:fill="auto"/>
            <w:noWrap/>
            <w:vAlign w:val="bottom"/>
            <w:hideMark/>
          </w:tcPr>
          <w:p w14:paraId="03B19E45"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2.90</w:t>
            </w:r>
          </w:p>
        </w:tc>
      </w:tr>
      <w:tr w:rsidR="009E633E" w:rsidRPr="00A8061A" w14:paraId="173B9468"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4A507C90"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0</w:t>
            </w:r>
          </w:p>
        </w:tc>
        <w:tc>
          <w:tcPr>
            <w:tcW w:w="1955" w:type="dxa"/>
            <w:tcBorders>
              <w:top w:val="nil"/>
              <w:left w:val="nil"/>
              <w:bottom w:val="single" w:sz="4" w:space="0" w:color="auto"/>
              <w:right w:val="single" w:sz="4" w:space="0" w:color="auto"/>
            </w:tcBorders>
            <w:shd w:val="clear" w:color="auto" w:fill="auto"/>
            <w:noWrap/>
            <w:vAlign w:val="bottom"/>
            <w:hideMark/>
          </w:tcPr>
          <w:p w14:paraId="0CC76F5E"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646.73</w:t>
            </w:r>
          </w:p>
        </w:tc>
        <w:tc>
          <w:tcPr>
            <w:tcW w:w="2223" w:type="dxa"/>
            <w:tcBorders>
              <w:top w:val="nil"/>
              <w:left w:val="nil"/>
              <w:bottom w:val="single" w:sz="4" w:space="0" w:color="auto"/>
              <w:right w:val="single" w:sz="4" w:space="0" w:color="auto"/>
            </w:tcBorders>
            <w:shd w:val="clear" w:color="auto" w:fill="auto"/>
            <w:noWrap/>
            <w:vAlign w:val="bottom"/>
            <w:hideMark/>
          </w:tcPr>
          <w:p w14:paraId="5A080E76"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51.22</w:t>
            </w:r>
          </w:p>
        </w:tc>
        <w:tc>
          <w:tcPr>
            <w:tcW w:w="2177" w:type="dxa"/>
            <w:tcBorders>
              <w:top w:val="nil"/>
              <w:left w:val="nil"/>
              <w:bottom w:val="single" w:sz="4" w:space="0" w:color="auto"/>
              <w:right w:val="single" w:sz="4" w:space="0" w:color="auto"/>
            </w:tcBorders>
            <w:shd w:val="clear" w:color="auto" w:fill="auto"/>
            <w:noWrap/>
            <w:vAlign w:val="bottom"/>
            <w:hideMark/>
          </w:tcPr>
          <w:p w14:paraId="021FB03E"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56.15</w:t>
            </w:r>
          </w:p>
        </w:tc>
        <w:tc>
          <w:tcPr>
            <w:tcW w:w="1984" w:type="dxa"/>
            <w:tcBorders>
              <w:top w:val="nil"/>
              <w:left w:val="nil"/>
              <w:bottom w:val="single" w:sz="4" w:space="0" w:color="auto"/>
              <w:right w:val="nil"/>
            </w:tcBorders>
            <w:shd w:val="clear" w:color="auto" w:fill="auto"/>
            <w:noWrap/>
            <w:vAlign w:val="bottom"/>
            <w:hideMark/>
          </w:tcPr>
          <w:p w14:paraId="14B8F92B"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4.31</w:t>
            </w:r>
          </w:p>
        </w:tc>
      </w:tr>
      <w:tr w:rsidR="009E633E" w:rsidRPr="00A8061A" w14:paraId="214F953A"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63B92395"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10</w:t>
            </w:r>
          </w:p>
        </w:tc>
        <w:tc>
          <w:tcPr>
            <w:tcW w:w="1955" w:type="dxa"/>
            <w:tcBorders>
              <w:top w:val="nil"/>
              <w:left w:val="nil"/>
              <w:bottom w:val="single" w:sz="4" w:space="0" w:color="auto"/>
              <w:right w:val="single" w:sz="4" w:space="0" w:color="auto"/>
            </w:tcBorders>
            <w:shd w:val="clear" w:color="auto" w:fill="auto"/>
            <w:noWrap/>
            <w:vAlign w:val="bottom"/>
            <w:hideMark/>
          </w:tcPr>
          <w:p w14:paraId="5097081C"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117.13</w:t>
            </w:r>
          </w:p>
        </w:tc>
        <w:tc>
          <w:tcPr>
            <w:tcW w:w="2223" w:type="dxa"/>
            <w:tcBorders>
              <w:top w:val="nil"/>
              <w:left w:val="nil"/>
              <w:bottom w:val="single" w:sz="4" w:space="0" w:color="auto"/>
              <w:right w:val="single" w:sz="4" w:space="0" w:color="auto"/>
            </w:tcBorders>
            <w:shd w:val="clear" w:color="auto" w:fill="auto"/>
            <w:noWrap/>
            <w:vAlign w:val="bottom"/>
            <w:hideMark/>
          </w:tcPr>
          <w:p w14:paraId="4D1EF31C"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14.13</w:t>
            </w:r>
          </w:p>
        </w:tc>
        <w:tc>
          <w:tcPr>
            <w:tcW w:w="2177" w:type="dxa"/>
            <w:tcBorders>
              <w:top w:val="nil"/>
              <w:left w:val="nil"/>
              <w:bottom w:val="single" w:sz="4" w:space="0" w:color="auto"/>
              <w:right w:val="single" w:sz="4" w:space="0" w:color="auto"/>
            </w:tcBorders>
            <w:shd w:val="clear" w:color="auto" w:fill="auto"/>
            <w:noWrap/>
            <w:vAlign w:val="bottom"/>
            <w:hideMark/>
          </w:tcPr>
          <w:p w14:paraId="37616A50"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21.60</w:t>
            </w:r>
          </w:p>
        </w:tc>
        <w:tc>
          <w:tcPr>
            <w:tcW w:w="1984" w:type="dxa"/>
            <w:tcBorders>
              <w:top w:val="nil"/>
              <w:left w:val="nil"/>
              <w:bottom w:val="single" w:sz="4" w:space="0" w:color="auto"/>
              <w:right w:val="nil"/>
            </w:tcBorders>
            <w:shd w:val="clear" w:color="auto" w:fill="auto"/>
            <w:noWrap/>
            <w:vAlign w:val="bottom"/>
            <w:hideMark/>
          </w:tcPr>
          <w:p w14:paraId="2F38638B"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5.37</w:t>
            </w:r>
          </w:p>
        </w:tc>
      </w:tr>
      <w:tr w:rsidR="009E633E" w:rsidRPr="00A8061A" w14:paraId="3230AC70" w14:textId="77777777" w:rsidTr="009E633E">
        <w:trPr>
          <w:trHeight w:val="300"/>
        </w:trPr>
        <w:tc>
          <w:tcPr>
            <w:tcW w:w="733" w:type="dxa"/>
            <w:tcBorders>
              <w:top w:val="nil"/>
              <w:left w:val="nil"/>
              <w:bottom w:val="single" w:sz="4" w:space="0" w:color="auto"/>
              <w:right w:val="single" w:sz="4" w:space="0" w:color="auto"/>
            </w:tcBorders>
            <w:shd w:val="clear" w:color="auto" w:fill="auto"/>
            <w:noWrap/>
            <w:vAlign w:val="bottom"/>
            <w:hideMark/>
          </w:tcPr>
          <w:p w14:paraId="051CA1B9"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40</w:t>
            </w:r>
          </w:p>
        </w:tc>
        <w:tc>
          <w:tcPr>
            <w:tcW w:w="1955" w:type="dxa"/>
            <w:tcBorders>
              <w:top w:val="nil"/>
              <w:left w:val="nil"/>
              <w:bottom w:val="single" w:sz="4" w:space="0" w:color="auto"/>
              <w:right w:val="single" w:sz="4" w:space="0" w:color="auto"/>
            </w:tcBorders>
            <w:shd w:val="clear" w:color="auto" w:fill="auto"/>
            <w:noWrap/>
            <w:vAlign w:val="bottom"/>
            <w:hideMark/>
          </w:tcPr>
          <w:p w14:paraId="3674ECE8"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72.60</w:t>
            </w:r>
          </w:p>
        </w:tc>
        <w:tc>
          <w:tcPr>
            <w:tcW w:w="2223" w:type="dxa"/>
            <w:tcBorders>
              <w:top w:val="nil"/>
              <w:left w:val="nil"/>
              <w:bottom w:val="single" w:sz="4" w:space="0" w:color="auto"/>
              <w:right w:val="single" w:sz="4" w:space="0" w:color="auto"/>
            </w:tcBorders>
            <w:shd w:val="clear" w:color="auto" w:fill="auto"/>
            <w:noWrap/>
            <w:vAlign w:val="bottom"/>
            <w:hideMark/>
          </w:tcPr>
          <w:p w14:paraId="3EB14AAF"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3.93</w:t>
            </w:r>
          </w:p>
        </w:tc>
        <w:tc>
          <w:tcPr>
            <w:tcW w:w="2177" w:type="dxa"/>
            <w:tcBorders>
              <w:top w:val="nil"/>
              <w:left w:val="nil"/>
              <w:bottom w:val="single" w:sz="4" w:space="0" w:color="auto"/>
              <w:right w:val="single" w:sz="4" w:space="0" w:color="auto"/>
            </w:tcBorders>
            <w:shd w:val="clear" w:color="auto" w:fill="auto"/>
            <w:noWrap/>
            <w:vAlign w:val="bottom"/>
            <w:hideMark/>
          </w:tcPr>
          <w:p w14:paraId="328B0393"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24.10</w:t>
            </w:r>
          </w:p>
        </w:tc>
        <w:tc>
          <w:tcPr>
            <w:tcW w:w="1984" w:type="dxa"/>
            <w:tcBorders>
              <w:top w:val="nil"/>
              <w:left w:val="nil"/>
              <w:bottom w:val="single" w:sz="4" w:space="0" w:color="auto"/>
              <w:right w:val="nil"/>
            </w:tcBorders>
            <w:shd w:val="clear" w:color="auto" w:fill="auto"/>
            <w:noWrap/>
            <w:vAlign w:val="bottom"/>
            <w:hideMark/>
          </w:tcPr>
          <w:p w14:paraId="1A14FCBD"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2.83</w:t>
            </w:r>
          </w:p>
        </w:tc>
      </w:tr>
      <w:tr w:rsidR="009E633E" w:rsidRPr="00A8061A" w14:paraId="1AF033E1" w14:textId="77777777" w:rsidTr="009E633E">
        <w:trPr>
          <w:trHeight w:val="300"/>
        </w:trPr>
        <w:tc>
          <w:tcPr>
            <w:tcW w:w="733" w:type="dxa"/>
            <w:tcBorders>
              <w:top w:val="nil"/>
              <w:left w:val="nil"/>
              <w:bottom w:val="nil"/>
              <w:right w:val="single" w:sz="4" w:space="0" w:color="auto"/>
            </w:tcBorders>
            <w:shd w:val="clear" w:color="auto" w:fill="auto"/>
            <w:noWrap/>
            <w:vAlign w:val="bottom"/>
            <w:hideMark/>
          </w:tcPr>
          <w:p w14:paraId="10540CFF"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100</w:t>
            </w:r>
          </w:p>
        </w:tc>
        <w:tc>
          <w:tcPr>
            <w:tcW w:w="1955" w:type="dxa"/>
            <w:tcBorders>
              <w:top w:val="nil"/>
              <w:left w:val="nil"/>
              <w:bottom w:val="nil"/>
              <w:right w:val="single" w:sz="4" w:space="0" w:color="auto"/>
            </w:tcBorders>
            <w:shd w:val="clear" w:color="auto" w:fill="auto"/>
            <w:noWrap/>
            <w:vAlign w:val="bottom"/>
            <w:hideMark/>
          </w:tcPr>
          <w:p w14:paraId="038350FB"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31.60</w:t>
            </w:r>
          </w:p>
        </w:tc>
        <w:tc>
          <w:tcPr>
            <w:tcW w:w="2223" w:type="dxa"/>
            <w:tcBorders>
              <w:top w:val="nil"/>
              <w:left w:val="nil"/>
              <w:bottom w:val="nil"/>
              <w:right w:val="single" w:sz="4" w:space="0" w:color="auto"/>
            </w:tcBorders>
            <w:shd w:val="clear" w:color="auto" w:fill="auto"/>
            <w:noWrap/>
            <w:vAlign w:val="bottom"/>
            <w:hideMark/>
          </w:tcPr>
          <w:p w14:paraId="5FC66574"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0.53</w:t>
            </w:r>
          </w:p>
        </w:tc>
        <w:tc>
          <w:tcPr>
            <w:tcW w:w="2177" w:type="dxa"/>
            <w:tcBorders>
              <w:top w:val="nil"/>
              <w:left w:val="nil"/>
              <w:bottom w:val="nil"/>
              <w:right w:val="single" w:sz="4" w:space="0" w:color="auto"/>
            </w:tcBorders>
            <w:shd w:val="clear" w:color="auto" w:fill="auto"/>
            <w:noWrap/>
            <w:vAlign w:val="bottom"/>
            <w:hideMark/>
          </w:tcPr>
          <w:p w14:paraId="592EFCCA"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12.80</w:t>
            </w:r>
          </w:p>
        </w:tc>
        <w:tc>
          <w:tcPr>
            <w:tcW w:w="1984" w:type="dxa"/>
            <w:tcBorders>
              <w:top w:val="nil"/>
              <w:left w:val="nil"/>
              <w:bottom w:val="nil"/>
              <w:right w:val="nil"/>
            </w:tcBorders>
            <w:shd w:val="clear" w:color="auto" w:fill="auto"/>
            <w:noWrap/>
            <w:vAlign w:val="bottom"/>
            <w:hideMark/>
          </w:tcPr>
          <w:p w14:paraId="7AA4AF90" w14:textId="77777777" w:rsidR="009E633E" w:rsidRPr="00A8061A" w:rsidRDefault="009E633E" w:rsidP="009E633E">
            <w:pPr>
              <w:spacing w:after="0" w:line="240" w:lineRule="auto"/>
              <w:jc w:val="right"/>
              <w:rPr>
                <w:rFonts w:ascii="Times New Roman" w:eastAsia="Times New Roman" w:hAnsi="Times New Roman" w:cs="Times New Roman"/>
                <w:color w:val="000000"/>
                <w:sz w:val="20"/>
                <w:szCs w:val="20"/>
                <w:lang w:val="en-US" w:eastAsia="de-DE"/>
              </w:rPr>
            </w:pPr>
            <w:r w:rsidRPr="00A8061A">
              <w:rPr>
                <w:rFonts w:ascii="Times New Roman" w:eastAsia="Times New Roman" w:hAnsi="Times New Roman" w:cs="Times New Roman"/>
                <w:color w:val="000000"/>
                <w:sz w:val="20"/>
                <w:szCs w:val="20"/>
                <w:lang w:val="en-US" w:eastAsia="de-DE"/>
              </w:rPr>
              <w:t>0.42</w:t>
            </w:r>
          </w:p>
        </w:tc>
      </w:tr>
    </w:tbl>
    <w:p w14:paraId="4019ADCA" w14:textId="5387AC64" w:rsidR="00A54F9B" w:rsidRPr="00A8061A" w:rsidRDefault="00A54F9B" w:rsidP="00480F2C">
      <w:pPr>
        <w:jc w:val="both"/>
        <w:rPr>
          <w:rFonts w:ascii="Times New Roman" w:hAnsi="Times New Roman" w:cs="Times New Roman"/>
          <w:i/>
          <w:sz w:val="20"/>
          <w:szCs w:val="20"/>
          <w:lang w:val="en-US"/>
        </w:rPr>
      </w:pPr>
    </w:p>
    <w:p w14:paraId="16ED492E" w14:textId="281D1CD0" w:rsidR="00282BCF" w:rsidRPr="00A8061A" w:rsidRDefault="00282BCF" w:rsidP="00480F2C">
      <w:pPr>
        <w:jc w:val="both"/>
        <w:rPr>
          <w:rFonts w:ascii="Times New Roman" w:hAnsi="Times New Roman" w:cs="Times New Roman"/>
          <w:i/>
          <w:sz w:val="20"/>
          <w:szCs w:val="20"/>
          <w:lang w:val="en-US"/>
        </w:rPr>
      </w:pPr>
    </w:p>
    <w:p w14:paraId="7FE72CC1" w14:textId="62ACD61B" w:rsidR="00282BCF" w:rsidRPr="00A8061A" w:rsidRDefault="00282BCF" w:rsidP="00480F2C">
      <w:pPr>
        <w:jc w:val="both"/>
        <w:rPr>
          <w:rFonts w:ascii="Times New Roman" w:hAnsi="Times New Roman" w:cs="Times New Roman"/>
          <w:i/>
          <w:sz w:val="20"/>
          <w:szCs w:val="20"/>
          <w:lang w:val="en-US"/>
        </w:rPr>
      </w:pPr>
    </w:p>
    <w:p w14:paraId="1B9EBC87" w14:textId="33B33E0B" w:rsidR="00282BCF" w:rsidRPr="00A8061A" w:rsidRDefault="00282BCF" w:rsidP="00480F2C">
      <w:pPr>
        <w:jc w:val="both"/>
        <w:rPr>
          <w:rFonts w:ascii="Times New Roman" w:hAnsi="Times New Roman" w:cs="Times New Roman"/>
          <w:i/>
          <w:sz w:val="20"/>
          <w:szCs w:val="20"/>
          <w:lang w:val="en-US"/>
        </w:rPr>
      </w:pPr>
    </w:p>
    <w:p w14:paraId="7E5FEBE8" w14:textId="40EA2129" w:rsidR="00282BCF" w:rsidRPr="00A8061A" w:rsidRDefault="00282BCF" w:rsidP="00480F2C">
      <w:pPr>
        <w:jc w:val="both"/>
        <w:rPr>
          <w:rFonts w:ascii="Times New Roman" w:hAnsi="Times New Roman" w:cs="Times New Roman"/>
          <w:i/>
          <w:sz w:val="20"/>
          <w:szCs w:val="20"/>
          <w:lang w:val="en-US"/>
        </w:rPr>
      </w:pPr>
    </w:p>
    <w:p w14:paraId="710701BA" w14:textId="34DA22A0" w:rsidR="00282BCF" w:rsidRPr="00A8061A" w:rsidRDefault="00282BCF" w:rsidP="00480F2C">
      <w:pPr>
        <w:jc w:val="both"/>
        <w:rPr>
          <w:rFonts w:ascii="Times New Roman" w:hAnsi="Times New Roman" w:cs="Times New Roman"/>
          <w:i/>
          <w:sz w:val="20"/>
          <w:szCs w:val="20"/>
          <w:lang w:val="en-US"/>
        </w:rPr>
      </w:pPr>
    </w:p>
    <w:p w14:paraId="2F6F16E3" w14:textId="53CDD63C" w:rsidR="00282BCF" w:rsidRPr="00A8061A" w:rsidRDefault="00282BCF" w:rsidP="00480F2C">
      <w:pPr>
        <w:jc w:val="both"/>
        <w:rPr>
          <w:rFonts w:ascii="Times New Roman" w:hAnsi="Times New Roman" w:cs="Times New Roman"/>
          <w:i/>
          <w:sz w:val="20"/>
          <w:szCs w:val="20"/>
          <w:lang w:val="en-US"/>
        </w:rPr>
      </w:pPr>
    </w:p>
    <w:p w14:paraId="1AA0987C" w14:textId="1E069AFA" w:rsidR="00282BCF" w:rsidRPr="00A8061A" w:rsidRDefault="00282BCF" w:rsidP="00480F2C">
      <w:pPr>
        <w:jc w:val="both"/>
        <w:rPr>
          <w:rFonts w:ascii="Times New Roman" w:hAnsi="Times New Roman" w:cs="Times New Roman"/>
          <w:i/>
          <w:sz w:val="20"/>
          <w:szCs w:val="20"/>
          <w:lang w:val="en-US"/>
        </w:rPr>
      </w:pPr>
    </w:p>
    <w:p w14:paraId="7E7418B2" w14:textId="46E4677D" w:rsidR="00282BCF" w:rsidRPr="00A8061A" w:rsidRDefault="00282BCF" w:rsidP="00480F2C">
      <w:pPr>
        <w:jc w:val="both"/>
        <w:rPr>
          <w:rFonts w:ascii="Times New Roman" w:hAnsi="Times New Roman" w:cs="Times New Roman"/>
          <w:i/>
          <w:sz w:val="20"/>
          <w:szCs w:val="20"/>
          <w:lang w:val="en-US"/>
        </w:rPr>
      </w:pPr>
    </w:p>
    <w:p w14:paraId="436305F2" w14:textId="48E7DF18" w:rsidR="00282BCF" w:rsidRPr="00A8061A" w:rsidRDefault="00282BCF" w:rsidP="00480F2C">
      <w:pPr>
        <w:jc w:val="both"/>
        <w:rPr>
          <w:rFonts w:ascii="Times New Roman" w:hAnsi="Times New Roman" w:cs="Times New Roman"/>
          <w:i/>
          <w:sz w:val="20"/>
          <w:szCs w:val="20"/>
          <w:lang w:val="en-US"/>
        </w:rPr>
      </w:pPr>
    </w:p>
    <w:p w14:paraId="02666ED1" w14:textId="2EB60C43" w:rsidR="00282BCF" w:rsidRPr="00A8061A" w:rsidRDefault="00282BCF" w:rsidP="00480F2C">
      <w:pPr>
        <w:jc w:val="both"/>
        <w:rPr>
          <w:rFonts w:ascii="Times New Roman" w:hAnsi="Times New Roman" w:cs="Times New Roman"/>
          <w:i/>
          <w:sz w:val="20"/>
          <w:szCs w:val="20"/>
          <w:lang w:val="en-US"/>
        </w:rPr>
      </w:pPr>
    </w:p>
    <w:p w14:paraId="190132FF" w14:textId="77777777" w:rsidR="00282BCF" w:rsidRPr="00A8061A" w:rsidRDefault="00282BCF" w:rsidP="00480F2C">
      <w:pPr>
        <w:jc w:val="both"/>
        <w:rPr>
          <w:rFonts w:ascii="Times New Roman" w:hAnsi="Times New Roman" w:cs="Times New Roman"/>
          <w:i/>
          <w:sz w:val="20"/>
          <w:szCs w:val="20"/>
          <w:lang w:val="en-US"/>
        </w:rPr>
      </w:pPr>
    </w:p>
    <w:p w14:paraId="45A4A263" w14:textId="5BE75454" w:rsidR="00654C31" w:rsidRPr="00A8061A" w:rsidRDefault="00654C31" w:rsidP="00480F2C">
      <w:pPr>
        <w:jc w:val="both"/>
        <w:rPr>
          <w:rFonts w:ascii="Times New Roman" w:hAnsi="Times New Roman" w:cs="Times New Roman"/>
          <w:i/>
          <w:sz w:val="20"/>
          <w:szCs w:val="20"/>
          <w:lang w:val="en-US"/>
        </w:rPr>
      </w:pPr>
      <w:r w:rsidRPr="00A8061A">
        <w:rPr>
          <w:rFonts w:ascii="Times New Roman" w:hAnsi="Times New Roman" w:cs="Times New Roman"/>
          <w:i/>
          <w:sz w:val="20"/>
          <w:szCs w:val="20"/>
          <w:lang w:val="en-US"/>
        </w:rPr>
        <w:lastRenderedPageBreak/>
        <w:t>A.</w:t>
      </w:r>
      <w:r w:rsidR="00A54F9B" w:rsidRPr="00A8061A">
        <w:rPr>
          <w:rFonts w:ascii="Times New Roman" w:hAnsi="Times New Roman" w:cs="Times New Roman"/>
          <w:i/>
          <w:sz w:val="20"/>
          <w:szCs w:val="20"/>
          <w:lang w:val="en-US"/>
        </w:rPr>
        <w:t>5.</w:t>
      </w:r>
      <w:r w:rsidRPr="00A8061A">
        <w:rPr>
          <w:rFonts w:ascii="Times New Roman" w:hAnsi="Times New Roman" w:cs="Times New Roman"/>
          <w:i/>
          <w:sz w:val="20"/>
          <w:szCs w:val="20"/>
          <w:lang w:val="en-US"/>
        </w:rPr>
        <w:t xml:space="preserve"> Post mortem XPS </w:t>
      </w:r>
      <w:r w:rsidR="007D555B" w:rsidRPr="00A8061A">
        <w:rPr>
          <w:rFonts w:ascii="Times New Roman" w:hAnsi="Times New Roman" w:cs="Times New Roman"/>
          <w:i/>
          <w:sz w:val="20"/>
          <w:szCs w:val="20"/>
          <w:lang w:val="en-US"/>
        </w:rPr>
        <w:t>a</w:t>
      </w:r>
      <w:r w:rsidR="00A54F9B" w:rsidRPr="00A8061A">
        <w:rPr>
          <w:rFonts w:ascii="Times New Roman" w:hAnsi="Times New Roman" w:cs="Times New Roman"/>
          <w:i/>
          <w:sz w:val="20"/>
          <w:szCs w:val="20"/>
          <w:lang w:val="en-US"/>
        </w:rPr>
        <w:t xml:space="preserve">nalysis </w:t>
      </w:r>
    </w:p>
    <w:p w14:paraId="19544E64" w14:textId="18A92B66" w:rsidR="009E633E" w:rsidRPr="00A8061A" w:rsidRDefault="00654C31" w:rsidP="00480F2C">
      <w:pPr>
        <w:jc w:val="both"/>
        <w:rPr>
          <w:rFonts w:ascii="Times New Roman" w:hAnsi="Times New Roman" w:cs="Times New Roman"/>
          <w:b/>
          <w:sz w:val="20"/>
          <w:szCs w:val="20"/>
          <w:lang w:val="en-US"/>
        </w:rPr>
      </w:pPr>
      <w:r w:rsidRPr="00A8061A">
        <w:rPr>
          <w:rFonts w:ascii="Times New Roman" w:hAnsi="Times New Roman" w:cs="Times New Roman"/>
          <w:b/>
          <w:noProof/>
          <w:sz w:val="20"/>
          <w:szCs w:val="20"/>
          <w:lang w:eastAsia="de-DE"/>
        </w:rPr>
        <w:drawing>
          <wp:inline distT="0" distB="0" distL="0" distR="0" wp14:anchorId="302E73C0" wp14:editId="74F633EE">
            <wp:extent cx="5760720" cy="3903127"/>
            <wp:effectExtent l="0" t="0" r="0" b="2540"/>
            <wp:docPr id="5" name="Grafik 5" descr="M:\Gruppen\Flüssigelektrolyte\_PROJECTS\LILLINT\Paper\Pretreatment-Method-Paper\Figures\SI_XPS_rev_H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Gruppen\Flüssigelektrolyte\_PROJECTS\LILLINT\Paper\Pretreatment-Method-Paper\Figures\SI_XPS_rev_HR.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903127"/>
                    </a:xfrm>
                    <a:prstGeom prst="rect">
                      <a:avLst/>
                    </a:prstGeom>
                    <a:noFill/>
                    <a:ln>
                      <a:noFill/>
                    </a:ln>
                  </pic:spPr>
                </pic:pic>
              </a:graphicData>
            </a:graphic>
          </wp:inline>
        </w:drawing>
      </w:r>
    </w:p>
    <w:p w14:paraId="2CF2A353" w14:textId="5F8D9288" w:rsidR="00654C31" w:rsidRPr="00A8061A" w:rsidRDefault="00654C31" w:rsidP="00480F2C">
      <w:pPr>
        <w:jc w:val="both"/>
        <w:rPr>
          <w:rFonts w:ascii="Times New Roman" w:hAnsi="Times New Roman" w:cs="Times New Roman"/>
          <w:sz w:val="16"/>
          <w:szCs w:val="16"/>
          <w:lang w:val="en-US"/>
        </w:rPr>
      </w:pPr>
      <w:r w:rsidRPr="00A8061A">
        <w:rPr>
          <w:rFonts w:ascii="Times New Roman" w:hAnsi="Times New Roman" w:cs="Times New Roman"/>
          <w:sz w:val="16"/>
          <w:szCs w:val="16"/>
          <w:lang w:val="en-US"/>
        </w:rPr>
        <w:t>Fig. A</w:t>
      </w:r>
      <w:r w:rsidR="00A54F9B" w:rsidRPr="00A8061A">
        <w:rPr>
          <w:rFonts w:ascii="Times New Roman" w:hAnsi="Times New Roman" w:cs="Times New Roman"/>
          <w:sz w:val="16"/>
          <w:szCs w:val="16"/>
          <w:lang w:val="en-US"/>
        </w:rPr>
        <w:t xml:space="preserve">.5.1. </w:t>
      </w:r>
      <w:r w:rsidR="00A54F9B" w:rsidRPr="00A8061A">
        <w:rPr>
          <w:rFonts w:ascii="Times New Roman" w:hAnsi="Times New Roman" w:cs="Times New Roman"/>
          <w:i/>
          <w:sz w:val="16"/>
          <w:szCs w:val="16"/>
          <w:lang w:val="en-US"/>
        </w:rPr>
        <w:t xml:space="preserve">Post mortem </w:t>
      </w:r>
      <w:r w:rsidR="00A54F9B" w:rsidRPr="00A8061A">
        <w:rPr>
          <w:rFonts w:ascii="Times New Roman" w:hAnsi="Times New Roman" w:cs="Times New Roman"/>
          <w:sz w:val="16"/>
          <w:szCs w:val="16"/>
          <w:lang w:val="en-US"/>
        </w:rPr>
        <w:t xml:space="preserve">XPS </w:t>
      </w:r>
      <w:r w:rsidR="00282BCF" w:rsidRPr="00A8061A">
        <w:rPr>
          <w:rFonts w:ascii="Times New Roman" w:hAnsi="Times New Roman" w:cs="Times New Roman"/>
          <w:sz w:val="16"/>
          <w:szCs w:val="16"/>
          <w:lang w:val="en-US"/>
        </w:rPr>
        <w:t>d</w:t>
      </w:r>
      <w:r w:rsidR="00A54F9B" w:rsidRPr="00A8061A">
        <w:rPr>
          <w:rFonts w:ascii="Times New Roman" w:hAnsi="Times New Roman" w:cs="Times New Roman"/>
          <w:sz w:val="16"/>
          <w:szCs w:val="16"/>
          <w:lang w:val="en-US"/>
        </w:rPr>
        <w:t xml:space="preserve">ata of BE@Li×BE (a), AE-VC@Li×AE-VC </w:t>
      </w:r>
      <w:r w:rsidR="00B94B0E" w:rsidRPr="00A8061A">
        <w:rPr>
          <w:rFonts w:ascii="Times New Roman" w:hAnsi="Times New Roman" w:cs="Times New Roman"/>
          <w:sz w:val="16"/>
          <w:szCs w:val="16"/>
          <w:lang w:val="en-US"/>
        </w:rPr>
        <w:t>(b) and AE-FEC</w:t>
      </w:r>
      <w:r w:rsidR="00A54F9B" w:rsidRPr="00A8061A">
        <w:rPr>
          <w:rFonts w:ascii="Times New Roman" w:hAnsi="Times New Roman" w:cs="Times New Roman"/>
          <w:sz w:val="16"/>
          <w:szCs w:val="16"/>
          <w:lang w:val="en-US"/>
        </w:rPr>
        <w:t>@Li×AE-FEC (c) electrodes after 50 cycles of stripping/plating experiment at 0.5 mA cm</w:t>
      </w:r>
      <w:r w:rsidR="00A54F9B" w:rsidRPr="00A8061A">
        <w:rPr>
          <w:rFonts w:ascii="Times New Roman" w:hAnsi="Times New Roman" w:cs="Times New Roman"/>
          <w:sz w:val="16"/>
          <w:szCs w:val="16"/>
          <w:vertAlign w:val="superscript"/>
          <w:lang w:val="en-US"/>
        </w:rPr>
        <w:t>-2</w:t>
      </w:r>
      <w:r w:rsidR="00A54F9B" w:rsidRPr="00A8061A">
        <w:rPr>
          <w:rFonts w:ascii="Times New Roman" w:hAnsi="Times New Roman" w:cs="Times New Roman"/>
          <w:sz w:val="16"/>
          <w:szCs w:val="16"/>
          <w:lang w:val="en-US"/>
        </w:rPr>
        <w:t xml:space="preserve"> (0.5 mAh cm</w:t>
      </w:r>
      <w:r w:rsidR="00A54F9B" w:rsidRPr="00A8061A">
        <w:rPr>
          <w:rFonts w:ascii="Times New Roman" w:hAnsi="Times New Roman" w:cs="Times New Roman"/>
          <w:sz w:val="16"/>
          <w:szCs w:val="16"/>
          <w:vertAlign w:val="superscript"/>
          <w:lang w:val="en-US"/>
        </w:rPr>
        <w:t>-2</w:t>
      </w:r>
      <w:r w:rsidR="00A54F9B" w:rsidRPr="00A8061A">
        <w:rPr>
          <w:rFonts w:ascii="Times New Roman" w:hAnsi="Times New Roman" w:cs="Times New Roman"/>
          <w:sz w:val="16"/>
          <w:szCs w:val="16"/>
          <w:lang w:val="en-US"/>
        </w:rPr>
        <w:t>).</w:t>
      </w:r>
    </w:p>
    <w:p w14:paraId="5F4518CB" w14:textId="77777777" w:rsidR="00654C31" w:rsidRPr="00A8061A" w:rsidRDefault="00654C31" w:rsidP="00480F2C">
      <w:pPr>
        <w:jc w:val="both"/>
        <w:rPr>
          <w:rFonts w:ascii="Times New Roman" w:hAnsi="Times New Roman" w:cs="Times New Roman"/>
          <w:b/>
          <w:sz w:val="20"/>
          <w:szCs w:val="20"/>
          <w:lang w:val="en-US"/>
        </w:rPr>
      </w:pPr>
    </w:p>
    <w:p w14:paraId="2F42C4E5" w14:textId="7D5E13EC" w:rsidR="00CF1542" w:rsidRPr="00AC10DD" w:rsidRDefault="009F7253" w:rsidP="00AC10DD">
      <w:pPr>
        <w:rPr>
          <w:rFonts w:ascii="Times New Roman" w:hAnsi="Times New Roman" w:cs="Times New Roman"/>
          <w:b/>
          <w:sz w:val="20"/>
          <w:szCs w:val="20"/>
          <w:lang w:val="en-US"/>
        </w:rPr>
      </w:pPr>
      <w:r w:rsidRPr="00A8061A">
        <w:rPr>
          <w:rFonts w:ascii="Times New Roman" w:hAnsi="Times New Roman" w:cs="Times New Roman"/>
          <w:b/>
          <w:sz w:val="20"/>
          <w:szCs w:val="20"/>
          <w:lang w:val="en-US"/>
        </w:rPr>
        <w:t>References</w:t>
      </w:r>
    </w:p>
    <w:p w14:paraId="2CE330E4" w14:textId="524FDF1E" w:rsidR="006263CB" w:rsidRPr="00EF417F"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654C31">
        <w:rPr>
          <w:rFonts w:ascii="Times New Roman" w:hAnsi="Times New Roman" w:cs="Times New Roman"/>
          <w:noProof/>
          <w:sz w:val="20"/>
          <w:szCs w:val="24"/>
          <w:lang w:val="en-US"/>
        </w:rPr>
        <w:t>[1]</w:t>
      </w:r>
      <w:r w:rsidRPr="00654C31">
        <w:rPr>
          <w:rFonts w:ascii="Times New Roman" w:hAnsi="Times New Roman" w:cs="Times New Roman"/>
          <w:noProof/>
          <w:sz w:val="20"/>
          <w:szCs w:val="24"/>
          <w:lang w:val="en-US"/>
        </w:rPr>
        <w:tab/>
        <w:t>M. Winter, B. Barnett, K. Xu, Before Li Ion Batteries, Chem. Rev. 118 (2018) 11433–11456. https://doi.org/10</w:t>
      </w:r>
      <w:r w:rsidRPr="00EF417F">
        <w:rPr>
          <w:rFonts w:ascii="Times New Roman" w:hAnsi="Times New Roman" w:cs="Times New Roman"/>
          <w:noProof/>
          <w:sz w:val="20"/>
          <w:szCs w:val="24"/>
          <w:lang w:val="en-US"/>
        </w:rPr>
        <w:t>.1021/acs.chemrev.8b00422.</w:t>
      </w:r>
    </w:p>
    <w:p w14:paraId="22D7568C"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[2]</w:t>
      </w:r>
      <w:r w:rsidRPr="00B53A22">
        <w:rPr>
          <w:rFonts w:ascii="Times New Roman" w:hAnsi="Times New Roman" w:cs="Times New Roman"/>
          <w:noProof/>
          <w:sz w:val="20"/>
          <w:szCs w:val="24"/>
          <w:lang w:val="en-US"/>
        </w:rPr>
        <w:tab/>
        <w:t xml:space="preserve">N.W. Li, Y.X. Yin, C.P. Yang, Y.G. Guo, An Artificial Solid Electrolyte Interphase Layer for Stable Lithium Metal Anodes, Adv. </w:t>
      </w:r>
      <w:r w:rsidRPr="00EF417F">
        <w:rPr>
          <w:rFonts w:ascii="Times New Roman" w:hAnsi="Times New Roman" w:cs="Times New Roman"/>
          <w:noProof/>
          <w:sz w:val="20"/>
          <w:szCs w:val="24"/>
          <w:lang w:val="en-US"/>
        </w:rPr>
        <w:t xml:space="preserve">Mater. </w:t>
      </w:r>
      <w:r w:rsidRPr="00B53A22">
        <w:rPr>
          <w:rFonts w:ascii="Times New Roman" w:hAnsi="Times New Roman" w:cs="Times New Roman"/>
          <w:noProof/>
          <w:sz w:val="20"/>
          <w:szCs w:val="24"/>
          <w:lang w:val="en-US"/>
        </w:rPr>
        <w:t>28 (2016) 1853–1858. https://doi.org/10.1002/adma.201504526.</w:t>
      </w:r>
    </w:p>
    <w:p w14:paraId="3A2009C8"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[3]</w:t>
      </w:r>
      <w:r w:rsidRPr="00B53A22">
        <w:rPr>
          <w:rFonts w:ascii="Times New Roman" w:hAnsi="Times New Roman" w:cs="Times New Roman"/>
          <w:noProof/>
          <w:sz w:val="20"/>
          <w:szCs w:val="24"/>
          <w:lang w:val="en-US"/>
        </w:rPr>
        <w:tab/>
        <w:t>F. Hao, A. Verma, P.P. Mukherjee, Mechanistic insight into dendrite-SEI interactions for lithium metal electrodes, J. Mater. Chem. A. 6 (2018) 19664–19671. https://doi.org/10.1039/c8ta07997h.</w:t>
      </w:r>
    </w:p>
    <w:p w14:paraId="7A241E16"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[4]</w:t>
      </w:r>
      <w:r w:rsidRPr="00B53A22">
        <w:rPr>
          <w:rFonts w:ascii="Times New Roman" w:hAnsi="Times New Roman" w:cs="Times New Roman"/>
          <w:noProof/>
          <w:sz w:val="20"/>
          <w:szCs w:val="24"/>
          <w:lang w:val="en-US"/>
        </w:rPr>
        <w:tab/>
        <w:t>M. Ue, K. Uosaki, Recent progress in liquid electrolytes for lithium metal batteries, Curr. Opin. Electrochem. 17 (2019) 106–113. https://doi.org/10.1016/j.coelec.2019.05.001.</w:t>
      </w:r>
    </w:p>
    <w:p w14:paraId="56A3296D"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[5]</w:t>
      </w:r>
      <w:r w:rsidRPr="00B53A22">
        <w:rPr>
          <w:rFonts w:ascii="Times New Roman" w:hAnsi="Times New Roman" w:cs="Times New Roman"/>
          <w:noProof/>
          <w:sz w:val="20"/>
          <w:szCs w:val="24"/>
          <w:lang w:val="en-US"/>
        </w:rPr>
        <w:tab/>
        <w:t>C. Wang, Y. Yu, J. Niu, Y. Liu, D. Bridges, X. Liu, J. Pooran, Y. Zhang, A. Hu, Recent progress of metal-air batteries-A mini review, Appl. Sci. 9 (2019) 2787–2809. https://doi.org/10.3390/app9142787.</w:t>
      </w:r>
    </w:p>
    <w:p w14:paraId="4C79291E" w14:textId="77777777" w:rsidR="006263CB" w:rsidRPr="006263CB"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rPr>
      </w:pPr>
      <w:r w:rsidRPr="006263CB">
        <w:rPr>
          <w:rFonts w:ascii="Times New Roman" w:hAnsi="Times New Roman" w:cs="Times New Roman"/>
          <w:noProof/>
          <w:sz w:val="20"/>
          <w:szCs w:val="24"/>
        </w:rPr>
        <w:t>[6]</w:t>
      </w:r>
      <w:r w:rsidRPr="006263CB">
        <w:rPr>
          <w:rFonts w:ascii="Times New Roman" w:hAnsi="Times New Roman" w:cs="Times New Roman"/>
          <w:noProof/>
          <w:sz w:val="20"/>
          <w:szCs w:val="24"/>
        </w:rPr>
        <w:tab/>
        <w:t>P. Bieker, M. Winter, Hochenergieakkumulatoren, Chemie Unserer Zeit. 50 (2016) 26–33. https://doi.org/10.1002/ciuz.201500713.</w:t>
      </w:r>
    </w:p>
    <w:p w14:paraId="5F2B3AAA"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[7]</w:t>
      </w:r>
      <w:r w:rsidRPr="00B53A22">
        <w:rPr>
          <w:rFonts w:ascii="Times New Roman" w:hAnsi="Times New Roman" w:cs="Times New Roman"/>
          <w:noProof/>
          <w:sz w:val="20"/>
          <w:szCs w:val="24"/>
          <w:lang w:val="en-US"/>
        </w:rPr>
        <w:tab/>
        <w:t>X. Zhang, Y. Yang, Z. Zhou, Towards practical lithium-metal anodes, Chem. Soc. Rev. 49 (2020) 3040–3071. https://doi.org/10.1039/c9cs00838a.</w:t>
      </w:r>
    </w:p>
    <w:p w14:paraId="187672A3"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[8]</w:t>
      </w:r>
      <w:r w:rsidRPr="00B53A22">
        <w:rPr>
          <w:rFonts w:ascii="Times New Roman" w:hAnsi="Times New Roman" w:cs="Times New Roman"/>
          <w:noProof/>
          <w:sz w:val="20"/>
          <w:szCs w:val="24"/>
          <w:lang w:val="en-US"/>
        </w:rPr>
        <w:tab/>
        <w:t xml:space="preserve">Y. Jie, X. Ren, R. Cao, W. Cai, S. Jiao, Advanced Liquid Electrolytes for Rechargeable Li Metal Batteries, Adv. </w:t>
      </w:r>
      <w:r w:rsidRPr="00EF417F">
        <w:rPr>
          <w:rFonts w:ascii="Times New Roman" w:hAnsi="Times New Roman" w:cs="Times New Roman"/>
          <w:noProof/>
          <w:sz w:val="20"/>
          <w:szCs w:val="24"/>
          <w:lang w:val="en-US"/>
        </w:rPr>
        <w:t xml:space="preserve">Funct. </w:t>
      </w:r>
      <w:r w:rsidRPr="00B53A22">
        <w:rPr>
          <w:rFonts w:ascii="Times New Roman" w:hAnsi="Times New Roman" w:cs="Times New Roman"/>
          <w:noProof/>
          <w:sz w:val="20"/>
          <w:szCs w:val="24"/>
          <w:lang w:val="en-US"/>
        </w:rPr>
        <w:t>Mater. 30 (2020) 1–23. https://doi.org/10.1002/adfm.201910777.</w:t>
      </w:r>
    </w:p>
    <w:p w14:paraId="131899C1"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[9]</w:t>
      </w:r>
      <w:r w:rsidRPr="00B53A22">
        <w:rPr>
          <w:rFonts w:ascii="Times New Roman" w:hAnsi="Times New Roman" w:cs="Times New Roman"/>
          <w:noProof/>
          <w:sz w:val="20"/>
          <w:szCs w:val="24"/>
          <w:lang w:val="en-US"/>
        </w:rPr>
        <w:tab/>
        <w:t xml:space="preserve">D. Jin, J. Park, M.H. Ryou, Y.M. Lee, Structure-Controlled Li Metal Electrodes for Post-Li-Ion Batteries: Recent Progress and Perspectives, Adv. </w:t>
      </w:r>
      <w:r w:rsidRPr="00EF417F">
        <w:rPr>
          <w:rFonts w:ascii="Times New Roman" w:hAnsi="Times New Roman" w:cs="Times New Roman"/>
          <w:noProof/>
          <w:sz w:val="20"/>
          <w:szCs w:val="24"/>
          <w:lang w:val="en-US"/>
        </w:rPr>
        <w:t xml:space="preserve">Mater. </w:t>
      </w:r>
      <w:r w:rsidRPr="00B53A22">
        <w:rPr>
          <w:rFonts w:ascii="Times New Roman" w:hAnsi="Times New Roman" w:cs="Times New Roman"/>
          <w:noProof/>
          <w:sz w:val="20"/>
          <w:szCs w:val="24"/>
          <w:lang w:val="en-US"/>
        </w:rPr>
        <w:t>Interfaces. 7 (2020) 1–17. https://doi.org/10.1002/admi.201902113.</w:t>
      </w:r>
    </w:p>
    <w:p w14:paraId="31CF3FFB"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[10]</w:t>
      </w:r>
      <w:r w:rsidRPr="00B53A22">
        <w:rPr>
          <w:rFonts w:ascii="Times New Roman" w:hAnsi="Times New Roman" w:cs="Times New Roman"/>
          <w:noProof/>
          <w:sz w:val="20"/>
          <w:szCs w:val="24"/>
          <w:lang w:val="en-US"/>
        </w:rPr>
        <w:tab/>
        <w:t xml:space="preserve">E. Paled, The Electrochemical Behavior of Alkali and Alkaline Earth Metals in Nonaqueous Battery </w:t>
      </w:r>
      <w:r w:rsidRPr="00B53A22">
        <w:rPr>
          <w:rFonts w:ascii="Times New Roman" w:hAnsi="Times New Roman" w:cs="Times New Roman"/>
          <w:noProof/>
          <w:sz w:val="20"/>
          <w:szCs w:val="24"/>
          <w:lang w:val="en-US"/>
        </w:rPr>
        <w:lastRenderedPageBreak/>
        <w:t>Systems- The Solid Electrolyte Interphase Model, J. Electrochem. Soc. 126 (1979) 2047–2051. https://doi.org/https://doi.org/10.1149/1.2128859.</w:t>
      </w:r>
    </w:p>
    <w:p w14:paraId="76D642DE"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[11]</w:t>
      </w:r>
      <w:r w:rsidRPr="00B53A22">
        <w:rPr>
          <w:rFonts w:ascii="Times New Roman" w:hAnsi="Times New Roman" w:cs="Times New Roman"/>
          <w:noProof/>
          <w:sz w:val="20"/>
          <w:szCs w:val="24"/>
          <w:lang w:val="en-US"/>
        </w:rPr>
        <w:tab/>
        <w:t>X.Q. Zhang, C.Z. Zhao, J.Q. Huang, Q. Zhang, Recent Advances in Energy Chemical Engineering of Next-Generation Lithium Batteries, Engineering. 4 (2018) 831–847. https://doi.org/10.1016/j.eng.2018.10.008.</w:t>
      </w:r>
    </w:p>
    <w:p w14:paraId="14D031D1"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[12]</w:t>
      </w:r>
      <w:r w:rsidRPr="00B53A22">
        <w:rPr>
          <w:rFonts w:ascii="Times New Roman" w:hAnsi="Times New Roman" w:cs="Times New Roman"/>
          <w:noProof/>
          <w:sz w:val="20"/>
          <w:szCs w:val="24"/>
          <w:lang w:val="en-US"/>
        </w:rPr>
        <w:tab/>
        <w:t>B. Horstmann, J. Shi, R. Amine, M. Werres, X. He, H. Jia, F. Hausen, I. Cekic-Laskovic, S. Wiemers-Meyer, J. Lopez, D. Galvez-Aranda, F. Baakes, D. Bresser, C.-C. Su, Y. Xu, W. Xu, P. Jakes, R.-A. Eichel, E. Figgemeier, U. Krewer, J.M. Seminario, P.B. Balbuena, C. Wang, S. Passerini, Y. Shao-Horn, M. Winter, K. Amine, R. Kostecki, A. Latz, Strategies towards enabling lithium metal in batteries: interphases and electrodes, Energy Environ. Sci. 14 (2021) 5289–5314. https://doi.org/10.1039/d1ee00767j.</w:t>
      </w:r>
    </w:p>
    <w:p w14:paraId="1213D973"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[13]</w:t>
      </w:r>
      <w:r w:rsidRPr="00B53A22">
        <w:rPr>
          <w:rFonts w:ascii="Times New Roman" w:hAnsi="Times New Roman" w:cs="Times New Roman"/>
          <w:noProof/>
          <w:sz w:val="20"/>
          <w:szCs w:val="24"/>
          <w:lang w:val="en-US"/>
        </w:rPr>
        <w:tab/>
        <w:t>J.T. Vaughey, G. Liu, J.G. Zhang, Stabilizing the surface of lithium metal, MRS Bull. 39 (2014) 429–435. https://doi.org/10.1557/mrs.2014.88.</w:t>
      </w:r>
    </w:p>
    <w:p w14:paraId="1E89BEEF"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[14]</w:t>
      </w:r>
      <w:r w:rsidRPr="00B53A22">
        <w:rPr>
          <w:rFonts w:ascii="Times New Roman" w:hAnsi="Times New Roman" w:cs="Times New Roman"/>
          <w:noProof/>
          <w:sz w:val="20"/>
          <w:szCs w:val="24"/>
          <w:lang w:val="en-US"/>
        </w:rPr>
        <w:tab/>
        <w:t xml:space="preserve">C. Yan, R. Xu, Y. Xiao, J.F. Ding, L. Xu, B.Q. Li, J.Q. Huang, Toward Critical Electrode/Electrolyte Interfaces in Rechargeable Batteries, Adv. </w:t>
      </w:r>
      <w:r w:rsidRPr="00EF417F">
        <w:rPr>
          <w:rFonts w:ascii="Times New Roman" w:hAnsi="Times New Roman" w:cs="Times New Roman"/>
          <w:noProof/>
          <w:sz w:val="20"/>
          <w:szCs w:val="24"/>
          <w:lang w:val="en-US"/>
        </w:rPr>
        <w:t xml:space="preserve">Funct. </w:t>
      </w:r>
      <w:r w:rsidRPr="00B53A22">
        <w:rPr>
          <w:rFonts w:ascii="Times New Roman" w:hAnsi="Times New Roman" w:cs="Times New Roman"/>
          <w:noProof/>
          <w:sz w:val="20"/>
          <w:szCs w:val="24"/>
          <w:lang w:val="en-US"/>
        </w:rPr>
        <w:t>Mater. 30 (2020) 1–21. https://doi.org/10.1002/adfm.201909887.</w:t>
      </w:r>
    </w:p>
    <w:p w14:paraId="256EAC78"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[15]</w:t>
      </w:r>
      <w:r w:rsidRPr="00B53A22">
        <w:rPr>
          <w:rFonts w:ascii="Times New Roman" w:hAnsi="Times New Roman" w:cs="Times New Roman"/>
          <w:noProof/>
          <w:sz w:val="20"/>
          <w:szCs w:val="24"/>
          <w:lang w:val="en-US"/>
        </w:rPr>
        <w:tab/>
        <w:t>Z. Han, C. Zhang, Q. Lin, Y. Zhang, Y. Deng, J. Han, D. Wu, F. Kang, Q.H. Yang, W. Lv, A Protective Layer for Lithium Metal Anode: Why and How, Small Methods. 2001035 (2021) 1–20. https://doi.org/10.1002/smtd.202001035.</w:t>
      </w:r>
    </w:p>
    <w:p w14:paraId="21DB42AD"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[16]</w:t>
      </w:r>
      <w:r w:rsidRPr="00B53A22">
        <w:rPr>
          <w:rFonts w:ascii="Times New Roman" w:hAnsi="Times New Roman" w:cs="Times New Roman"/>
          <w:noProof/>
          <w:sz w:val="20"/>
          <w:szCs w:val="24"/>
          <w:lang w:val="en-US"/>
        </w:rPr>
        <w:tab/>
        <w:t>L. Xia, H. Miao, C. Zhang, G.Z. Chen, J. Yuan, Review—recent advances in non-aqueous liquid electrolytes containing fluorinated compounds for high energy density lithium-ion batteries, Energy Storage Mater. 38 (2021) 542–570. https://doi.org/10.1016/j.ensm.2021.03.032.</w:t>
      </w:r>
    </w:p>
    <w:p w14:paraId="73999A78"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[17]</w:t>
      </w:r>
      <w:r w:rsidRPr="00B53A22">
        <w:rPr>
          <w:rFonts w:ascii="Times New Roman" w:hAnsi="Times New Roman" w:cs="Times New Roman"/>
          <w:noProof/>
          <w:sz w:val="20"/>
          <w:szCs w:val="24"/>
          <w:lang w:val="en-US"/>
        </w:rPr>
        <w:tab/>
        <w:t>K.N. Wood, M. Noked, N.P. Dasgupta, Lithium metal anodes: Toward an improved understanding of coupled morphological, electrochemical, and mechanical behavior, ACS Energy Lett. 2 (2017) 664–672. https://doi.org/10.1021/acsenergylett.6b00650.</w:t>
      </w:r>
    </w:p>
    <w:p w14:paraId="66C7F390"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[18]</w:t>
      </w:r>
      <w:r w:rsidRPr="00B53A22">
        <w:rPr>
          <w:rFonts w:ascii="Times New Roman" w:hAnsi="Times New Roman" w:cs="Times New Roman"/>
          <w:noProof/>
          <w:sz w:val="20"/>
          <w:szCs w:val="24"/>
          <w:lang w:val="en-US"/>
        </w:rPr>
        <w:tab/>
        <w:t>M. Weiss, F.J. Simon, M.R. Busche, T. Nakamura, D. Schröder, F.H. Richter, J. Janek, From Liquid- to Solid-State Batteries: Ion Transfer Kinetics of Heteroionic Interfaces, Electrochem. Energy Rev. 3 (2020) 221–238. https://doi.org/10.1007/s41918-020-00062-7.</w:t>
      </w:r>
    </w:p>
    <w:p w14:paraId="1FD7D2D3"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[19]</w:t>
      </w:r>
      <w:r w:rsidRPr="00B53A22">
        <w:rPr>
          <w:rFonts w:ascii="Times New Roman" w:hAnsi="Times New Roman" w:cs="Times New Roman"/>
          <w:noProof/>
          <w:sz w:val="20"/>
          <w:szCs w:val="24"/>
          <w:lang w:val="en-US"/>
        </w:rPr>
        <w:tab/>
        <w:t>Q. Chen, K. Geng, K. Sieradzki, Prospects for dendrite-free cycling of li metal batteries, J. Electrochem. Soc. 162 (2015) A2004–A2007. https://doi.org/10.1149/2.0261510jes.</w:t>
      </w:r>
    </w:p>
    <w:p w14:paraId="35BFB7A1"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[20]</w:t>
      </w:r>
      <w:r w:rsidRPr="00B53A22">
        <w:rPr>
          <w:rFonts w:ascii="Times New Roman" w:hAnsi="Times New Roman" w:cs="Times New Roman"/>
          <w:noProof/>
          <w:sz w:val="20"/>
          <w:szCs w:val="24"/>
          <w:lang w:val="en-US"/>
        </w:rPr>
        <w:tab/>
        <w:t>K. Xu, Electrolytes and interphases in Li-ion batteries and beyond, Chem. Rev. 114 (2014) 11503–11618. https://doi.org/10.1021/cr500003w.</w:t>
      </w:r>
    </w:p>
    <w:p w14:paraId="16F46033"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[21]</w:t>
      </w:r>
      <w:r w:rsidRPr="00B53A22">
        <w:rPr>
          <w:rFonts w:ascii="Times New Roman" w:hAnsi="Times New Roman" w:cs="Times New Roman"/>
          <w:noProof/>
          <w:sz w:val="20"/>
          <w:szCs w:val="24"/>
          <w:lang w:val="en-US"/>
        </w:rPr>
        <w:tab/>
        <w:t>A. Wang, S. Kadam, H. Li, S. Shi, Y. Qi, Review on modeling of the anode solid electrolyte interphase (SEI) for lithium-ion batteries, Npj Comput. Mater. 4 (2018) 1–26. https://doi.org/10.1038/s41524-018-0064-0.</w:t>
      </w:r>
    </w:p>
    <w:p w14:paraId="381B4DA8"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[22]</w:t>
      </w:r>
      <w:r w:rsidRPr="00B53A22">
        <w:rPr>
          <w:rFonts w:ascii="Times New Roman" w:hAnsi="Times New Roman" w:cs="Times New Roman"/>
          <w:noProof/>
          <w:sz w:val="20"/>
          <w:szCs w:val="24"/>
          <w:lang w:val="en-US"/>
        </w:rPr>
        <w:tab/>
        <w:t>X.B. Cheng, R. Zhang, C.Z. Zhao, F. Wei, J.G. Zhang, Q. Zhang, A review of solid electrolyte interphases on lithium metal anode, Adv. Sci. 3 (2015) 1–20. https://doi.org/10.1002/advs.201500213.</w:t>
      </w:r>
    </w:p>
    <w:p w14:paraId="0A7F0AAA" w14:textId="77777777" w:rsidR="006263CB" w:rsidRPr="00B53A22"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[23]</w:t>
      </w:r>
      <w:r w:rsidRPr="00B53A22">
        <w:rPr>
          <w:rFonts w:ascii="Times New Roman" w:hAnsi="Times New Roman" w:cs="Times New Roman"/>
          <w:noProof/>
          <w:sz w:val="20"/>
          <w:szCs w:val="24"/>
          <w:lang w:val="en-US"/>
        </w:rPr>
        <w:tab/>
        <w:t>E. Peled, S.S. Menkin, Review—SEI: Past, Present and Future, J. Electrochem. Soc. 164 (2017) A1703–A1719. https://doi.org/10.1149/2.1441707jes.</w:t>
      </w:r>
    </w:p>
    <w:p w14:paraId="46C8CD0F" w14:textId="77777777" w:rsidR="006263CB" w:rsidRPr="00EF417F"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B53A22">
        <w:rPr>
          <w:rFonts w:ascii="Times New Roman" w:hAnsi="Times New Roman" w:cs="Times New Roman"/>
          <w:noProof/>
          <w:sz w:val="20"/>
          <w:szCs w:val="24"/>
          <w:lang w:val="en-US"/>
        </w:rPr>
        <w:t>[24]</w:t>
      </w:r>
      <w:r w:rsidRPr="00B53A22">
        <w:rPr>
          <w:rFonts w:ascii="Times New Roman" w:hAnsi="Times New Roman" w:cs="Times New Roman"/>
          <w:noProof/>
          <w:sz w:val="20"/>
          <w:szCs w:val="24"/>
          <w:lang w:val="en-US"/>
        </w:rPr>
        <w:tab/>
        <w:t xml:space="preserve">M. Winter, The solid electrolyte interphase - The most important and the least understood solid electrolyte in rechargeable Li batteries, Zeitschrift Fur Phys. </w:t>
      </w:r>
      <w:r w:rsidRPr="00EF417F">
        <w:rPr>
          <w:rFonts w:ascii="Times New Roman" w:hAnsi="Times New Roman" w:cs="Times New Roman"/>
          <w:noProof/>
          <w:sz w:val="20"/>
          <w:szCs w:val="24"/>
          <w:lang w:val="en-US"/>
        </w:rPr>
        <w:t>Chemie. 223 (2009) 1395–1406. https://doi.org/10.1524/zpch.2009.6086.</w:t>
      </w:r>
    </w:p>
    <w:p w14:paraId="206FA639"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EF417F">
        <w:rPr>
          <w:rFonts w:ascii="Times New Roman" w:hAnsi="Times New Roman" w:cs="Times New Roman"/>
          <w:noProof/>
          <w:sz w:val="20"/>
          <w:szCs w:val="24"/>
          <w:lang w:val="en-US"/>
        </w:rPr>
        <w:t>[25]</w:t>
      </w:r>
      <w:r w:rsidRPr="00EF417F">
        <w:rPr>
          <w:rFonts w:ascii="Times New Roman" w:hAnsi="Times New Roman" w:cs="Times New Roman"/>
          <w:noProof/>
          <w:sz w:val="20"/>
          <w:szCs w:val="24"/>
          <w:lang w:val="en-US"/>
        </w:rPr>
        <w:tab/>
        <w:t xml:space="preserve">F. Ding, W. Xu, G.L. Graff, J. Zhang, M.L. Sushko, X. Chen, Y. Shao, M.H. Engelhard, Z. Nie, J. Xiao, X. Liu, P. V. Sushko, J. Liu, J.G. Zhang, Dendrite-free lithium deposition via self-healing electrostatic shield mechanism, J. Am. </w:t>
      </w:r>
      <w:r w:rsidRPr="004E5275">
        <w:rPr>
          <w:rFonts w:ascii="Times New Roman" w:hAnsi="Times New Roman" w:cs="Times New Roman"/>
          <w:noProof/>
          <w:sz w:val="20"/>
          <w:szCs w:val="24"/>
          <w:lang w:val="en-US"/>
        </w:rPr>
        <w:t>Chem. Soc. 135 (2013) 4450–4456. https://doi.org/10.1021/ja312241y.</w:t>
      </w:r>
    </w:p>
    <w:p w14:paraId="76489027"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[26]</w:t>
      </w:r>
      <w:r w:rsidRPr="004E5275">
        <w:rPr>
          <w:rFonts w:ascii="Times New Roman" w:hAnsi="Times New Roman" w:cs="Times New Roman"/>
          <w:noProof/>
          <w:sz w:val="20"/>
          <w:szCs w:val="24"/>
          <w:lang w:val="en-US"/>
        </w:rPr>
        <w:tab/>
        <w:t>I. Cekic-Laskovic, N. Von Aspern, L. Imholt, S. Kaymaksiz, K. Oldiges, Synergistic Effect of Blended Components in Nonaqueous Electrolytes for Lithium Ion Batteries, in: Top. Curr. Chem., Springer International Publishing, 2017: pp. 1–64. https://doi.org/10.1007/s41061-017-0125-8.</w:t>
      </w:r>
    </w:p>
    <w:p w14:paraId="58CF11E4"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[27]</w:t>
      </w:r>
      <w:r w:rsidRPr="004E5275">
        <w:rPr>
          <w:rFonts w:ascii="Times New Roman" w:hAnsi="Times New Roman" w:cs="Times New Roman"/>
          <w:noProof/>
          <w:sz w:val="20"/>
          <w:szCs w:val="24"/>
          <w:lang w:val="en-US"/>
        </w:rPr>
        <w:tab/>
        <w:t xml:space="preserve">R.S. Thompson, D.J. Schroeder, C.M. López, S. Neuhold, J.T. Vaughey, Stabilization of lithium metal anodes using silane-based coatings, Electrochem. Commun. 13 (2011) 1369–1372. </w:t>
      </w:r>
      <w:r w:rsidRPr="004E5275">
        <w:rPr>
          <w:rFonts w:ascii="Times New Roman" w:hAnsi="Times New Roman" w:cs="Times New Roman"/>
          <w:noProof/>
          <w:sz w:val="20"/>
          <w:szCs w:val="24"/>
          <w:lang w:val="en-US"/>
        </w:rPr>
        <w:lastRenderedPageBreak/>
        <w:t>https://doi.org/10.1016/j.elecom.2011.08.012.</w:t>
      </w:r>
    </w:p>
    <w:p w14:paraId="1AEE3D0F"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[28]</w:t>
      </w:r>
      <w:r w:rsidRPr="004E5275">
        <w:rPr>
          <w:rFonts w:ascii="Times New Roman" w:hAnsi="Times New Roman" w:cs="Times New Roman"/>
          <w:noProof/>
          <w:sz w:val="20"/>
          <w:szCs w:val="24"/>
          <w:lang w:val="en-US"/>
        </w:rPr>
        <w:tab/>
        <w:t>N.W. Li, Y. Shi, Y.X. Yin, X.X. Zeng, J.Y. Li, C.J. Li, L.J. Wan, R. Wen, Y.G. Guo, A Flexible Solid Electrolyte Interphase Layer for Long-Life Lithium Metal Anodes, Angew. Chemie - Int. Ed. 57 (2018) 1505–1509. https://doi.org/10.1002/anie.201710806.</w:t>
      </w:r>
    </w:p>
    <w:p w14:paraId="40A92B23"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[29]</w:t>
      </w:r>
      <w:r w:rsidRPr="004E5275">
        <w:rPr>
          <w:rFonts w:ascii="Times New Roman" w:hAnsi="Times New Roman" w:cs="Times New Roman"/>
          <w:noProof/>
          <w:sz w:val="20"/>
          <w:szCs w:val="24"/>
          <w:lang w:val="en-US"/>
        </w:rPr>
        <w:tab/>
        <w:t>S. Guo, N. Piao, L. Wang, H. Xu, G. Tian, J. Li, X. He, PVDF-HFP/LiF Composite Interfacial Film to Enhance the Stability of Li-Metal Anodes, ACS Appl. Energy Mater. 3 (2020) 7191–7199. https://doi.org/10.1021/acsaem.0c01232.</w:t>
      </w:r>
    </w:p>
    <w:p w14:paraId="34E8AA84"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[30]</w:t>
      </w:r>
      <w:r w:rsidRPr="004E5275">
        <w:rPr>
          <w:rFonts w:ascii="Times New Roman" w:hAnsi="Times New Roman" w:cs="Times New Roman"/>
          <w:noProof/>
          <w:sz w:val="20"/>
          <w:szCs w:val="24"/>
          <w:lang w:val="en-US"/>
        </w:rPr>
        <w:tab/>
        <w:t>Q. Ran, C. Han, A. Tang, H. Chen, Z. Tang, K. Jiang, Y. Mai, J. Wang, Multifunctional artificial solid electrolyte interphase layer for lithium metal anode in carbonate electrolyte, Solid State Ionics. 344 (2020) 115095–115102. https://doi.org/10.1016/j.ssi.2019.115095.</w:t>
      </w:r>
    </w:p>
    <w:p w14:paraId="5CE26AC2"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[31]</w:t>
      </w:r>
      <w:r w:rsidRPr="004E5275">
        <w:rPr>
          <w:rFonts w:ascii="Times New Roman" w:hAnsi="Times New Roman" w:cs="Times New Roman"/>
          <w:noProof/>
          <w:sz w:val="20"/>
          <w:szCs w:val="24"/>
          <w:lang w:val="en-US"/>
        </w:rPr>
        <w:tab/>
        <w:t>S. Li, Q. Liu, X. Wang, Q. Wu, L. Fan, W. Zhang, Z. Shen, L. Wang, M. Ling, Y. Lu, Constructing a Phosphating–Nitriding Interface for Practically Used Lithium Metal Anode, ACS Mater. Lett. 2 (2019) 1–8. https://doi.org/10.1021/acsmaterialslett.9b00416.</w:t>
      </w:r>
    </w:p>
    <w:p w14:paraId="75268863"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[32]</w:t>
      </w:r>
      <w:r w:rsidRPr="004E5275">
        <w:rPr>
          <w:rFonts w:ascii="Times New Roman" w:hAnsi="Times New Roman" w:cs="Times New Roman"/>
          <w:noProof/>
          <w:sz w:val="20"/>
          <w:szCs w:val="24"/>
          <w:lang w:val="en-US"/>
        </w:rPr>
        <w:tab/>
        <w:t>Y.J. Zhang, W. Wang, H. Tang, W.Q. Bai, X. Ge, X.L. Wang, C.D. Gu, J.P. Tu, An ex-situ nitridation route to synthesize Li3N-modified Li anodes for lithium secondary batteries, J. Power Sources. 277 (2015) 304–311. https://doi.org/10.1016/j.jpowsour.2014.12.023.</w:t>
      </w:r>
    </w:p>
    <w:p w14:paraId="624B3E17"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[33]</w:t>
      </w:r>
      <w:r w:rsidRPr="004E5275">
        <w:rPr>
          <w:rFonts w:ascii="Times New Roman" w:hAnsi="Times New Roman" w:cs="Times New Roman"/>
          <w:noProof/>
          <w:sz w:val="20"/>
          <w:szCs w:val="24"/>
          <w:lang w:val="en-US"/>
        </w:rPr>
        <w:tab/>
        <w:t>M. Wu, Z. Wen, Y. Liu, X. Wang, L. Huang, Electrochemical behaviors of a Li3N modified Li metal electrode in secondary lithium batteries, J. Power Sources. 196 (2011) 8091–8097. https://doi.org/10.1016/j.jpowsour.2011.05.035.</w:t>
      </w:r>
    </w:p>
    <w:p w14:paraId="7B99E992"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[34]</w:t>
      </w:r>
      <w:r w:rsidRPr="004E5275">
        <w:rPr>
          <w:rFonts w:ascii="Times New Roman" w:hAnsi="Times New Roman" w:cs="Times New Roman"/>
          <w:noProof/>
          <w:sz w:val="20"/>
          <w:szCs w:val="24"/>
          <w:lang w:val="en-US"/>
        </w:rPr>
        <w:tab/>
        <w:t>M.C. Stan, J. Becking, A. Kolesnikov, B. Wankmiller, J.E. Frerichs, M.R. Hansen, P. Bieker, M. Kolek, M. Winter, Sputter coating of lithium metal electrodes with lithiophilic metals for homogeneous and reversible lithium electrodeposition and electrodissolution, Mater. Today. 39 (2020) 137–145. https://doi.org/10.1016/j.mattod.2020.04.002.</w:t>
      </w:r>
    </w:p>
    <w:p w14:paraId="5AA2717C"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[35]</w:t>
      </w:r>
      <w:r w:rsidRPr="004E5275">
        <w:rPr>
          <w:rFonts w:ascii="Times New Roman" w:hAnsi="Times New Roman" w:cs="Times New Roman"/>
          <w:noProof/>
          <w:sz w:val="20"/>
          <w:szCs w:val="24"/>
          <w:lang w:val="en-US"/>
        </w:rPr>
        <w:tab/>
        <w:t>S. Otto, Y. Moryson, T. Krauskopf, K. Peppler, J. Sann, J. Janek, In-Depth Characterization of Lithium-Metal Surfaces with XPS and ToF-SIMS: Toward Better Understanding of the Passivation Layer, Chem. Mater. 33 (2021) 859–867. https://doi.org/10.1021/acs.chemmater.0c03518.</w:t>
      </w:r>
    </w:p>
    <w:p w14:paraId="24E88E2C"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[36]</w:t>
      </w:r>
      <w:r w:rsidRPr="004E5275">
        <w:rPr>
          <w:rFonts w:ascii="Times New Roman" w:hAnsi="Times New Roman" w:cs="Times New Roman"/>
          <w:noProof/>
          <w:sz w:val="20"/>
          <w:szCs w:val="24"/>
          <w:lang w:val="en-US"/>
        </w:rPr>
        <w:tab/>
        <w:t>S. Otto, T. Fuchs, Y. Moryson, C. Lerch, B. Mogwitz, J. Sann, J. Janek, A. Henss, Storage of Lithium Metal: The Role of the Native Passivation Layer for the Anode Interface Resistance in Solid State Batteries, Appl. Energy Mater. 4 (2021) 12798–12807. https://doi.org/10.1021/acsaem.1c02481.</w:t>
      </w:r>
    </w:p>
    <w:p w14:paraId="08A2E596"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[37]</w:t>
      </w:r>
      <w:r w:rsidRPr="004E5275">
        <w:rPr>
          <w:rFonts w:ascii="Times New Roman" w:hAnsi="Times New Roman" w:cs="Times New Roman"/>
          <w:noProof/>
          <w:sz w:val="20"/>
          <w:szCs w:val="24"/>
          <w:lang w:val="en-US"/>
        </w:rPr>
        <w:tab/>
        <w:t>J. Becking, A. Gröbmeyer, M. Kolek, U. Rodehorst, S. Schulze, M. Winter, P. Bieker, M.C. Stan, Lithium-Metal Foil Surface Modification: An Effective Method to Improve the Cycling Performance of Lithium-Metal Batteries, Adv. Mater. Interfaces. 4 (2017) 1–9. https://doi.org/10.1002/admi.201700166.</w:t>
      </w:r>
    </w:p>
    <w:p w14:paraId="6C4E566C"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[38]</w:t>
      </w:r>
      <w:r w:rsidRPr="004E5275">
        <w:rPr>
          <w:rFonts w:ascii="Times New Roman" w:hAnsi="Times New Roman" w:cs="Times New Roman"/>
          <w:noProof/>
          <w:sz w:val="20"/>
          <w:szCs w:val="24"/>
          <w:lang w:val="en-US"/>
        </w:rPr>
        <w:tab/>
        <w:t>R. Nölle, K. Beltrop, F. Holtstiege, J. Kasnatscheew, T. Placke, M. Winter, A reality check and tutorial on electrochemical characterization of battery cell materials: How to choose the appropriate cell setup, Mater. Today. 32 (2019) 131–146. https://doi.org/10.1016/j.mattod.2019.07.002.</w:t>
      </w:r>
    </w:p>
    <w:p w14:paraId="14567083"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[39]</w:t>
      </w:r>
      <w:r w:rsidRPr="004E5275">
        <w:rPr>
          <w:rFonts w:ascii="Times New Roman" w:hAnsi="Times New Roman" w:cs="Times New Roman"/>
          <w:noProof/>
          <w:sz w:val="20"/>
          <w:szCs w:val="24"/>
          <w:lang w:val="en-US"/>
        </w:rPr>
        <w:tab/>
        <w:t>J. Wellmann, J. Brinkmann, K. Neuhaus, U. Rodehorst, M.R. Hansen, M. Winter, E. Paillard, Effective Solid Electrolyte Interphase Formation on Lithium Metal Anodes by Mechanochemical Modi fi cation, Appl. Mater. Interfaces. 13 (2021) 34227–34237. https://doi.org/10.1021/acsami.1c07490.</w:t>
      </w:r>
    </w:p>
    <w:p w14:paraId="53270E0E"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[40]</w:t>
      </w:r>
      <w:r w:rsidRPr="004E5275">
        <w:rPr>
          <w:rFonts w:ascii="Times New Roman" w:hAnsi="Times New Roman" w:cs="Times New Roman"/>
          <w:noProof/>
          <w:sz w:val="20"/>
          <w:szCs w:val="24"/>
          <w:lang w:val="en-US"/>
        </w:rPr>
        <w:tab/>
        <w:t>M.S. Ding, S.L. Koch, S. Passerini, The Effect of 1-Pentylamine as Solid Electrolyte Interphase Precursor on Lithium Metal Anodes, Electrochim. Acta. 240 (2017) 408–414. https://doi.org/10.1016/j.electacta.2017.04.098.</w:t>
      </w:r>
    </w:p>
    <w:p w14:paraId="1C531F55"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[41]</w:t>
      </w:r>
      <w:r w:rsidRPr="004E5275">
        <w:rPr>
          <w:rFonts w:ascii="Times New Roman" w:hAnsi="Times New Roman" w:cs="Times New Roman"/>
          <w:noProof/>
          <w:sz w:val="20"/>
          <w:szCs w:val="24"/>
          <w:lang w:val="en-US"/>
        </w:rPr>
        <w:tab/>
        <w:t>M. Odziemkowski, M. Krell, D.E. Irish, A Raman Microprobe In Situ and Ex Situ Study of Film Formation at Lithium/Organic Electrolyte Interfaces, J. Electrochem. Soc. 139 (1992) 3052–3063. https://doi.org/10.1149/1.2069032.</w:t>
      </w:r>
    </w:p>
    <w:p w14:paraId="3BE5B71A"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[42]</w:t>
      </w:r>
      <w:r w:rsidRPr="004E5275">
        <w:rPr>
          <w:rFonts w:ascii="Times New Roman" w:hAnsi="Times New Roman" w:cs="Times New Roman"/>
          <w:noProof/>
          <w:sz w:val="20"/>
          <w:szCs w:val="24"/>
          <w:lang w:val="en-US"/>
        </w:rPr>
        <w:tab/>
        <w:t>M. Odziemkowski, D.E. Irish, An Electrochemical Study of the Reactivity at the Lithium Electrolyte/Bare Lithium Metal Interface: II . Unpurified Solvents, J. Electrochem. Soc. 140 (1993) 1546–1555. https://doi.org/10.1149/1.2221600.</w:t>
      </w:r>
    </w:p>
    <w:p w14:paraId="76AE3543"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[43]</w:t>
      </w:r>
      <w:r w:rsidRPr="004E5275">
        <w:rPr>
          <w:rFonts w:ascii="Times New Roman" w:hAnsi="Times New Roman" w:cs="Times New Roman"/>
          <w:noProof/>
          <w:sz w:val="20"/>
          <w:szCs w:val="24"/>
          <w:lang w:val="en-US"/>
        </w:rPr>
        <w:tab/>
        <w:t>M. Odziemkowski, D.E. Irish, An Electrochemical Study of the Reactivity at the Lithium Electrolyte/Bare Lithium Metal Interface: I. Purified Solvents, J. Electrochem. Soc. 139 (1992) 3063–3074. https://doi.org/10.1149/1.2069033.</w:t>
      </w:r>
    </w:p>
    <w:p w14:paraId="143E3CDC"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lastRenderedPageBreak/>
        <w:t>[44]</w:t>
      </w:r>
      <w:r w:rsidRPr="004E5275">
        <w:rPr>
          <w:rFonts w:ascii="Times New Roman" w:hAnsi="Times New Roman" w:cs="Times New Roman"/>
          <w:noProof/>
          <w:sz w:val="20"/>
          <w:szCs w:val="24"/>
          <w:lang w:val="en-US"/>
        </w:rPr>
        <w:tab/>
        <w:t>K. Thanner, A. Varzi, D. Buchholz, S.J. Sedlmaier, S. Passerini, Artificial Solid Electrolyte Interphases for Lithium Metal Electrodes by Wet Processing: The Role of Metal Salt Concentration and Solvent Choice, ACS Appl. Mater. Interfaces. 12 (2020) 32851–32862. https://doi.org/10.1021/acsami.0c08938.</w:t>
      </w:r>
    </w:p>
    <w:p w14:paraId="32B17E98"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[45]</w:t>
      </w:r>
      <w:r w:rsidRPr="004E5275">
        <w:rPr>
          <w:rFonts w:ascii="Times New Roman" w:hAnsi="Times New Roman" w:cs="Times New Roman"/>
          <w:noProof/>
          <w:sz w:val="20"/>
          <w:szCs w:val="24"/>
          <w:lang w:val="en-US"/>
        </w:rPr>
        <w:tab/>
        <w:t>H. Ota, Y. Sakata, Y. Otake, K. Shima, M. Ue, J. Yamaki, Structural and Functional Analysis of Surface Film on Li Anode in Vinylene Carbonate-Containing Electrolyte, J. Electrochem. Soc. 151 (2004) 1778–1788. https://doi.org/10.1149/1.1798411.</w:t>
      </w:r>
    </w:p>
    <w:p w14:paraId="5E52494F"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[46]</w:t>
      </w:r>
      <w:r w:rsidRPr="004E5275">
        <w:rPr>
          <w:rFonts w:ascii="Times New Roman" w:hAnsi="Times New Roman" w:cs="Times New Roman"/>
          <w:noProof/>
          <w:sz w:val="20"/>
          <w:szCs w:val="24"/>
          <w:lang w:val="en-US"/>
        </w:rPr>
        <w:tab/>
        <w:t>X. Zhang, X. Cheng, X. Chen, C. Yan, Q. Zhang, Fluoroethylene Carbonate Additives to Render Uniform Li Deposits in Lithium Metal Batteries, Adv. Funct. Mater. 27 (2017) 1605989–1605997. https://doi.org/10.1002/adfm.201605989.</w:t>
      </w:r>
    </w:p>
    <w:p w14:paraId="15D34F77"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[47]</w:t>
      </w:r>
      <w:r w:rsidRPr="004E5275">
        <w:rPr>
          <w:rFonts w:ascii="Times New Roman" w:hAnsi="Times New Roman" w:cs="Times New Roman"/>
          <w:noProof/>
          <w:sz w:val="20"/>
          <w:szCs w:val="24"/>
          <w:lang w:val="en-US"/>
        </w:rPr>
        <w:tab/>
        <w:t>F. Ding, W. Xu, X. Chen, J. Zhang, Y. Zhang, B.R. Johnson, J. V. Crum, J.G. Zhang, X. Liu, M.H. Engelhard, T.A. Blake, Effects of Carbonate Solvents and Lithium Salts on Morphology and Coulombic Efficiency of Lithium Electrode, J. Electrochem. Soc. 160 (2013) A1894–A1901. https://doi.org/10.1149/2.100310jes.</w:t>
      </w:r>
    </w:p>
    <w:p w14:paraId="669C540E"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[48]</w:t>
      </w:r>
      <w:r w:rsidRPr="004E5275">
        <w:rPr>
          <w:rFonts w:ascii="Times New Roman" w:hAnsi="Times New Roman" w:cs="Times New Roman"/>
          <w:noProof/>
          <w:sz w:val="20"/>
          <w:szCs w:val="24"/>
          <w:lang w:val="en-US"/>
        </w:rPr>
        <w:tab/>
        <w:t>E. Peled, S. Menkin, Review — SEI : Past , Present and Future, J. Electrochem. Soc. 164 (2017) A1703. https://doi.org/10.1149/2.1441707jes.</w:t>
      </w:r>
    </w:p>
    <w:p w14:paraId="16519666"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[49]</w:t>
      </w:r>
      <w:r w:rsidRPr="004E5275">
        <w:rPr>
          <w:rFonts w:ascii="Times New Roman" w:hAnsi="Times New Roman" w:cs="Times New Roman"/>
          <w:noProof/>
          <w:sz w:val="20"/>
          <w:szCs w:val="24"/>
          <w:lang w:val="en-US"/>
        </w:rPr>
        <w:tab/>
        <w:t>J.O. Besenhard, M. Winter, Insertion reactions in advanced electrochemical energy storage, Pure Appl. Chem. 70 (1998) 603–608. https://doi.org/doi.org/10.1351/pac199870030603.</w:t>
      </w:r>
    </w:p>
    <w:p w14:paraId="53037D74"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[50]</w:t>
      </w:r>
      <w:r w:rsidRPr="004E5275">
        <w:rPr>
          <w:rFonts w:ascii="Times New Roman" w:hAnsi="Times New Roman" w:cs="Times New Roman"/>
          <w:noProof/>
          <w:sz w:val="20"/>
          <w:szCs w:val="24"/>
          <w:lang w:val="en-US"/>
        </w:rPr>
        <w:tab/>
        <w:t>F.A. Soto, Y. Ma, J.M. Martinez de la Hoz, J.M. Seminario, P.B. Balbuena, Formation and Growth Mechanisms of Solid-Electrolyte Interphase Layers in Rechargeable Batteries, Chem. Mater. 27 (2015) 7990–8000. https://doi.org/10.1021/acs.chemmater.5b03358.</w:t>
      </w:r>
    </w:p>
    <w:p w14:paraId="47F0A009"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[51]</w:t>
      </w:r>
      <w:r w:rsidRPr="004E5275">
        <w:rPr>
          <w:rFonts w:ascii="Times New Roman" w:hAnsi="Times New Roman" w:cs="Times New Roman"/>
          <w:noProof/>
          <w:sz w:val="20"/>
          <w:szCs w:val="24"/>
          <w:lang w:val="en-US"/>
        </w:rPr>
        <w:tab/>
        <w:t>D.E. Galvez-Aranda, J.M. Seminario, Li-Metal Anode in a Conventional Li-Ion Battery Electrolyte: Solid Electrolyte Interphase Formation using Ab Initio Molecular Dynamic, J. Electrochem. Soc. 169 (2022) 030502–030517. https://doi.org/10.1149/1945-7111/ac55c8.</w:t>
      </w:r>
    </w:p>
    <w:p w14:paraId="75384B63"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[52]</w:t>
      </w:r>
      <w:r w:rsidRPr="004E5275">
        <w:rPr>
          <w:rFonts w:ascii="Times New Roman" w:hAnsi="Times New Roman" w:cs="Times New Roman"/>
          <w:noProof/>
          <w:sz w:val="20"/>
          <w:szCs w:val="24"/>
          <w:lang w:val="en-US"/>
        </w:rPr>
        <w:tab/>
        <w:t>L. El Ouatani, R. Dedryvère, C. Siret, P. Biensan, S. Reynaud, P. Iratçabal, D. Gonbeau, The Effect of Vinylene Carbonate Additive on Surface Film Formation on Both Electrodes in Li-Ion Batteries, J. Electrochem. Soc. 156 (2009) A103–A113. https://doi.org/10.1149/1.3029674.</w:t>
      </w:r>
    </w:p>
    <w:p w14:paraId="0BB1182B"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[53]</w:t>
      </w:r>
      <w:r w:rsidRPr="004E5275">
        <w:rPr>
          <w:rFonts w:ascii="Times New Roman" w:hAnsi="Times New Roman" w:cs="Times New Roman"/>
          <w:noProof/>
          <w:sz w:val="20"/>
          <w:szCs w:val="24"/>
          <w:lang w:val="en-US"/>
        </w:rPr>
        <w:tab/>
        <w:t>J. Betz, J.P. Brinkmann, R. Nölle, C. Lürenbaum, M. Kolek, M.C. Stan, M. Winter, T. Placke, Cross Talk between Transition Metal Cathode and Li Metal Anode: Unraveling Its Influence on the Deposition/Dissolution Behavior and Morphology of Lithium, Adv. Energy Mater. 9 (2019) 1900574–1900584. https://doi.org/10.1002/aenm.201900574.</w:t>
      </w:r>
    </w:p>
    <w:p w14:paraId="23F8DF32"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[54]</w:t>
      </w:r>
      <w:r w:rsidRPr="004E5275">
        <w:rPr>
          <w:rFonts w:ascii="Times New Roman" w:hAnsi="Times New Roman" w:cs="Times New Roman"/>
          <w:noProof/>
          <w:sz w:val="20"/>
          <w:szCs w:val="24"/>
          <w:lang w:val="en-US"/>
        </w:rPr>
        <w:tab/>
        <w:t>J.N. Zhang, Q. Li, Y. Wang, J. Zheng, X. Yu, H. Li, Dynamic evolution of cathode electrolyte interphase (CEI) on high voltage LiCoO2 cathode and its interaction with Li anode, Energy Storage Mater. 14 (2018) 1–7. https://doi.org/10.1016/j.ensm.2018.02.016.</w:t>
      </w:r>
    </w:p>
    <w:p w14:paraId="1D975623"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[55]</w:t>
      </w:r>
      <w:r w:rsidRPr="004E5275">
        <w:rPr>
          <w:rFonts w:ascii="Times New Roman" w:hAnsi="Times New Roman" w:cs="Times New Roman"/>
          <w:noProof/>
          <w:sz w:val="20"/>
          <w:szCs w:val="24"/>
          <w:lang w:val="en-US"/>
        </w:rPr>
        <w:tab/>
        <w:t>G. Bieker, M. Winter, P. Bieker, Electrochemical in situ investigations of SEI and dendrite formation on the lithium metal anode, Phys. Chem. Chem. Phys. 17 (2015) 8670–8679. https://doi.org/10.1039/c4cp05865h.</w:t>
      </w:r>
    </w:p>
    <w:p w14:paraId="51D02F71"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[56]</w:t>
      </w:r>
      <w:r w:rsidRPr="004E5275">
        <w:rPr>
          <w:rFonts w:ascii="Times New Roman" w:hAnsi="Times New Roman" w:cs="Times New Roman"/>
          <w:noProof/>
          <w:sz w:val="20"/>
          <w:szCs w:val="24"/>
          <w:lang w:val="en-US"/>
        </w:rPr>
        <w:tab/>
        <w:t>F.M. Weber, I. Kohlhaas, E. Figgemeier, Tuning the Reactivity of Electrolyte Solvents on Lithium Metal by Vinylene Carbonate, J. Electrochem. Soc. 167 (2020) 140523–140528. https://doi.org/10.1149/1945-7111/abc436.</w:t>
      </w:r>
    </w:p>
    <w:p w14:paraId="3AB8DAC4"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[57]</w:t>
      </w:r>
      <w:r w:rsidRPr="004E5275">
        <w:rPr>
          <w:rFonts w:ascii="Times New Roman" w:hAnsi="Times New Roman" w:cs="Times New Roman"/>
          <w:noProof/>
          <w:sz w:val="20"/>
          <w:szCs w:val="24"/>
          <w:lang w:val="en-US"/>
        </w:rPr>
        <w:tab/>
        <w:t>M.H. Ryou, Y.M. Lee, Y. Lee, M. Winter, P. Bieker, Mechanical surface modification of lithium metal: Towards improved Li metal anode performance by directed Li plating, Adv. Funct. Mater. 25 (2015) 834–841. https://doi.org/10.1002/adfm.201402953.</w:t>
      </w:r>
    </w:p>
    <w:p w14:paraId="60AD6D70"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[58]</w:t>
      </w:r>
      <w:r w:rsidRPr="004E5275">
        <w:rPr>
          <w:rFonts w:ascii="Times New Roman" w:hAnsi="Times New Roman" w:cs="Times New Roman"/>
          <w:noProof/>
          <w:sz w:val="20"/>
          <w:szCs w:val="24"/>
          <w:lang w:val="en-US"/>
        </w:rPr>
        <w:tab/>
        <w:t>K.N. Wood, E. Kazyak, A.F. Chadwick, K.H. Chen, J.G. Zhang, K. Thornton, N.P. Dasgupta, Dendrites and pits: Untangling the complex behavior of lithium metal anodes through operando video microscopy, ACS Cent. Sci. 2 (2016) 790–801. https://doi.org/10.1021/acscentsci.6b00260.</w:t>
      </w:r>
    </w:p>
    <w:p w14:paraId="784C5287"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[59]</w:t>
      </w:r>
      <w:r w:rsidRPr="004E5275">
        <w:rPr>
          <w:rFonts w:ascii="Times New Roman" w:hAnsi="Times New Roman" w:cs="Times New Roman"/>
          <w:noProof/>
          <w:sz w:val="20"/>
          <w:szCs w:val="24"/>
          <w:lang w:val="en-US"/>
        </w:rPr>
        <w:tab/>
        <w:t>G. Li, H. Li, Y. Mo, L. Chen, X. Huang, Further identifcation to the SEI film on Ag electrode in lithium batteries by surface enhanced Raman scattering ( SERS ), J. Power Sources. 104 (2002) 190–194. https://doi.org/10.1016/S0378-7753(01)00908-9.</w:t>
      </w:r>
    </w:p>
    <w:p w14:paraId="2306F404"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[60]</w:t>
      </w:r>
      <w:r w:rsidRPr="004E5275">
        <w:rPr>
          <w:rFonts w:ascii="Times New Roman" w:hAnsi="Times New Roman" w:cs="Times New Roman"/>
          <w:noProof/>
          <w:sz w:val="20"/>
          <w:szCs w:val="24"/>
          <w:lang w:val="en-US"/>
        </w:rPr>
        <w:tab/>
        <w:t xml:space="preserve">C. Naudin, J.L. Bruneel, M. Chami, B. Desbat, J. Grondin, J.C. Lassègues, L. Servant, Characterization of the lithium surface by infrared and Raman spectroscopies, J. Power Sources. 124 (2003) 518–525. </w:t>
      </w:r>
      <w:r w:rsidRPr="004E5275">
        <w:rPr>
          <w:rFonts w:ascii="Times New Roman" w:hAnsi="Times New Roman" w:cs="Times New Roman"/>
          <w:noProof/>
          <w:sz w:val="20"/>
          <w:szCs w:val="24"/>
          <w:lang w:val="en-US"/>
        </w:rPr>
        <w:lastRenderedPageBreak/>
        <w:t>https://doi.org/10.1016/S0378-7753(03)00798-5.</w:t>
      </w:r>
    </w:p>
    <w:p w14:paraId="5CCBF161"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[61]</w:t>
      </w:r>
      <w:r w:rsidRPr="004E5275">
        <w:rPr>
          <w:rFonts w:ascii="Times New Roman" w:hAnsi="Times New Roman" w:cs="Times New Roman"/>
          <w:noProof/>
          <w:sz w:val="20"/>
          <w:szCs w:val="24"/>
          <w:lang w:val="en-US"/>
        </w:rPr>
        <w:tab/>
        <w:t>S. Tang, Y. Gu, J. Yi, Z. Zeng, S. Ding, J. Yan, D. Wu, B. Ren, Z. Tian, B.-W. Mao, An electrochemical surface-enhanced Raman spectroscopic study on nanorod-structured lithium prepared by electrodeposition, J. Raman Spectrosc. 47 (2016) 1017–1023. https://doi.org/10.1002/jrs.4970.</w:t>
      </w:r>
    </w:p>
    <w:p w14:paraId="16F7EB5C"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[62]</w:t>
      </w:r>
      <w:r w:rsidRPr="004E5275">
        <w:rPr>
          <w:rFonts w:ascii="Times New Roman" w:hAnsi="Times New Roman" w:cs="Times New Roman"/>
          <w:noProof/>
          <w:sz w:val="20"/>
          <w:szCs w:val="24"/>
          <w:lang w:val="en-US"/>
        </w:rPr>
        <w:tab/>
        <w:t>G. Socrates, Infrared and Raman Characteristic Group Frequencies, 3rd Editio, Wiley &amp; Sons LTD, Chichester, 2004.</w:t>
      </w:r>
    </w:p>
    <w:p w14:paraId="400CE916"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[63]</w:t>
      </w:r>
      <w:r w:rsidRPr="004E5275">
        <w:rPr>
          <w:rFonts w:ascii="Times New Roman" w:hAnsi="Times New Roman" w:cs="Times New Roman"/>
          <w:noProof/>
          <w:sz w:val="20"/>
          <w:szCs w:val="24"/>
          <w:lang w:val="en-US"/>
        </w:rPr>
        <w:tab/>
        <w:t>A. Gajan, C. Lecourt, B. Estela, T. Bautista, L. Fillaud, J. Demeaux, I.T. Lucas, Solid Electrolyte Interphase Instability in Operating Lithium-Ion Batteries Unraveled by Enhanced-Raman Spectroscopy, ACS Energy Lett. 6 (2021) 1757–1763. https://doi.org/10.1021/acsenergylett.1c00436.</w:t>
      </w:r>
    </w:p>
    <w:p w14:paraId="4A56C177"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[64]</w:t>
      </w:r>
      <w:r w:rsidRPr="004E5275">
        <w:rPr>
          <w:rFonts w:ascii="Times New Roman" w:hAnsi="Times New Roman" w:cs="Times New Roman"/>
          <w:noProof/>
          <w:sz w:val="20"/>
          <w:szCs w:val="24"/>
          <w:lang w:val="en-US"/>
        </w:rPr>
        <w:tab/>
        <w:t>G. Yang, I.N. Ivanov, R.E. Ruther, R.L. Sacci, V. Subjakova, D.T. Hallinan, J. Nanda, Electrolyte Solvation Structure at Solid − Liquid Interface Probed by Nanogap Surface- Enhanced Raman Spectroscopy, ACS Nano. 12 (2018) 10159–10170. https://doi.org/10.1021/acsnano.8b05038.</w:t>
      </w:r>
    </w:p>
    <w:p w14:paraId="7D48CF37"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[65]</w:t>
      </w:r>
      <w:r w:rsidRPr="004E5275">
        <w:rPr>
          <w:rFonts w:ascii="Times New Roman" w:hAnsi="Times New Roman" w:cs="Times New Roman"/>
          <w:noProof/>
          <w:sz w:val="20"/>
          <w:szCs w:val="24"/>
          <w:lang w:val="en-US"/>
        </w:rPr>
        <w:tab/>
        <w:t>H. Chen, J. Chen, W. Zhang, Q. Xie, Y. Che, H. Wang, L. Xing, K. Xu, W. Li, Enhanced cycling stability of high-voltage lithium metal batteries with a trifunctional electrolyte, J. Mater. Chem. A. 8 (2020) 22054–22064. https://doi.org/10.1039/d0ta07438a.</w:t>
      </w:r>
    </w:p>
    <w:p w14:paraId="6D425AC7"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[66]</w:t>
      </w:r>
      <w:r w:rsidRPr="004E5275">
        <w:rPr>
          <w:rFonts w:ascii="Times New Roman" w:hAnsi="Times New Roman" w:cs="Times New Roman"/>
          <w:noProof/>
          <w:sz w:val="20"/>
          <w:szCs w:val="24"/>
          <w:lang w:val="en-US"/>
        </w:rPr>
        <w:tab/>
        <w:t>Y. Zhang, D. Krishnamurthy, V. Viswanathan, Engineering Solid Electrolyte Interphase Composition by Assessing Decomposition Pathways of Fluorinated Organic Solvents in Lithium Metal Batteries, J. Electrochem. Soc. 167 (2020) 070554–070565. https://doi.org/10.1149/1945-7111/ab836b.</w:t>
      </w:r>
    </w:p>
    <w:p w14:paraId="25A1706B"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[67]</w:t>
      </w:r>
      <w:r w:rsidRPr="004E5275">
        <w:rPr>
          <w:rFonts w:ascii="Times New Roman" w:hAnsi="Times New Roman" w:cs="Times New Roman"/>
          <w:noProof/>
          <w:sz w:val="20"/>
          <w:szCs w:val="24"/>
          <w:lang w:val="en-US"/>
        </w:rPr>
        <w:tab/>
        <w:t>A.L. Michan, B.S. Parimalam, M. Leskes, R.N. Kerber, T. Yoon, C.P. Grey, B.L. Lucht, Fluoroethylene carbonate and vinylene carbonate reduction: Understanding lithium-ion battery electrolyte additives and solid electrolyte interphase formation, Chem. Mater. 28 (2016) 8149–8159. https://doi.org/10.1021/acs.chemmater.6b02282.</w:t>
      </w:r>
    </w:p>
    <w:p w14:paraId="3D62708B" w14:textId="77777777" w:rsidR="006263CB" w:rsidRPr="004E5275" w:rsidRDefault="006263CB" w:rsidP="006263CB">
      <w:pPr>
        <w:widowControl w:val="0"/>
        <w:autoSpaceDE w:val="0"/>
        <w:autoSpaceDN w:val="0"/>
        <w:adjustRightInd w:val="0"/>
        <w:spacing w:line="240" w:lineRule="auto"/>
        <w:ind w:left="640" w:hanging="640"/>
        <w:rPr>
          <w:rFonts w:ascii="Times New Roman" w:hAnsi="Times New Roman" w:cs="Times New Roman"/>
          <w:noProof/>
          <w:sz w:val="20"/>
          <w:szCs w:val="24"/>
          <w:lang w:val="en-US"/>
        </w:rPr>
      </w:pPr>
      <w:r w:rsidRPr="004E5275">
        <w:rPr>
          <w:rFonts w:ascii="Times New Roman" w:hAnsi="Times New Roman" w:cs="Times New Roman"/>
          <w:noProof/>
          <w:sz w:val="20"/>
          <w:szCs w:val="24"/>
          <w:lang w:val="en-US"/>
        </w:rPr>
        <w:t>[68]</w:t>
      </w:r>
      <w:r w:rsidRPr="004E5275">
        <w:rPr>
          <w:rFonts w:ascii="Times New Roman" w:hAnsi="Times New Roman" w:cs="Times New Roman"/>
          <w:noProof/>
          <w:sz w:val="20"/>
          <w:szCs w:val="24"/>
          <w:lang w:val="en-US"/>
        </w:rPr>
        <w:tab/>
        <w:t>Y. Liu, L. Hong, R. Jiang, Y. Wang, S. V Patel, X. Feng, H. Xiang, Multifunctional Electrolyte Additive Stabilizes Electrode − Electrolyte Interface Layers for High-Voltage Lithium Metal Batteries, Appl. Mater. Interfaces. 13 (2021) 57430–57441. https://doi.org/10.1021/acsami.1c18783.</w:t>
      </w:r>
    </w:p>
    <w:p w14:paraId="04845CC4" w14:textId="77777777" w:rsidR="006263CB" w:rsidRPr="006263CB" w:rsidRDefault="006263CB" w:rsidP="006263CB">
      <w:pPr>
        <w:widowControl w:val="0"/>
        <w:autoSpaceDE w:val="0"/>
        <w:autoSpaceDN w:val="0"/>
        <w:adjustRightInd w:val="0"/>
        <w:spacing w:line="240" w:lineRule="auto"/>
        <w:ind w:left="640" w:hanging="640"/>
        <w:rPr>
          <w:rFonts w:ascii="Times New Roman" w:hAnsi="Times New Roman" w:cs="Times New Roman"/>
          <w:noProof/>
          <w:sz w:val="20"/>
        </w:rPr>
      </w:pPr>
      <w:r w:rsidRPr="004E5275">
        <w:rPr>
          <w:rFonts w:ascii="Times New Roman" w:hAnsi="Times New Roman" w:cs="Times New Roman"/>
          <w:noProof/>
          <w:sz w:val="20"/>
          <w:szCs w:val="24"/>
          <w:lang w:val="en-US"/>
        </w:rPr>
        <w:t>[69]</w:t>
      </w:r>
      <w:r w:rsidRPr="004E5275">
        <w:rPr>
          <w:rFonts w:ascii="Times New Roman" w:hAnsi="Times New Roman" w:cs="Times New Roman"/>
          <w:noProof/>
          <w:sz w:val="20"/>
          <w:szCs w:val="24"/>
          <w:lang w:val="en-US"/>
        </w:rPr>
        <w:tab/>
        <w:t xml:space="preserve">Y. Zheng, W. Fang, H. Zheng, Y. Su, X. Liang, C. Chen, H. Xiang, A Multifunctional Thiophene-Based Electrolyte Additive for Lithium Metal Batteries Using High-Voltage LiCoO 2 Cathode, J. Electrochem. </w:t>
      </w:r>
      <w:r w:rsidRPr="006263CB">
        <w:rPr>
          <w:rFonts w:ascii="Times New Roman" w:hAnsi="Times New Roman" w:cs="Times New Roman"/>
          <w:noProof/>
          <w:sz w:val="20"/>
          <w:szCs w:val="24"/>
        </w:rPr>
        <w:t>Soc. 166 (2019) A3222–A3227. https://doi.org/10.1149/2.0291914jes.</w:t>
      </w:r>
    </w:p>
    <w:p w14:paraId="5810C431" w14:textId="0FFA7407" w:rsidR="005916BE" w:rsidRPr="00CE15A6" w:rsidRDefault="005916BE" w:rsidP="00733D79">
      <w:pPr>
        <w:jc w:val="both"/>
        <w:rPr>
          <w:rFonts w:ascii="Times New Roman" w:hAnsi="Times New Roman" w:cs="Times New Roman"/>
          <w:sz w:val="24"/>
          <w:szCs w:val="24"/>
          <w:lang w:val="en-US"/>
        </w:rPr>
      </w:pPr>
    </w:p>
    <w:sectPr w:rsidR="005916BE" w:rsidRPr="00CE15A6">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0B1F4" w14:textId="77777777" w:rsidR="003B2AFE" w:rsidRDefault="003B2AFE" w:rsidP="009F2841">
      <w:pPr>
        <w:spacing w:after="0" w:line="240" w:lineRule="auto"/>
      </w:pPr>
      <w:r>
        <w:separator/>
      </w:r>
    </w:p>
  </w:endnote>
  <w:endnote w:type="continuationSeparator" w:id="0">
    <w:p w14:paraId="5B18667A" w14:textId="77777777" w:rsidR="003B2AFE" w:rsidRDefault="003B2AFE" w:rsidP="009F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taNormal-Roman">
    <w:altName w:val="Calibri"/>
    <w:charset w:val="00"/>
    <w:family w:val="swiss"/>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128C" w14:textId="6DE44563" w:rsidR="00A542D7" w:rsidRPr="009F2841" w:rsidRDefault="00A542D7">
    <w:pPr>
      <w:pStyle w:val="Fuzeile"/>
      <w:rPr>
        <w:rFonts w:ascii="Times New Roman" w:hAnsi="Times New Roman" w:cs="Times New Roman"/>
        <w:sz w:val="18"/>
        <w:lang w:val="en-US"/>
      </w:rPr>
    </w:pPr>
    <w:r>
      <w:rPr>
        <w:rFonts w:ascii="Times New Roman" w:hAnsi="Times New Roman" w:cs="Times New Roman"/>
        <w:sz w:val="18"/>
        <w:lang w:val="en-US"/>
      </w:rPr>
      <w:t xml:space="preserve">pSEI – preformed “as-defined” SEI; </w:t>
    </w:r>
    <w:r w:rsidRPr="009F2841">
      <w:rPr>
        <w:rFonts w:ascii="Times New Roman" w:hAnsi="Times New Roman" w:cs="Times New Roman"/>
        <w:sz w:val="18"/>
        <w:lang w:val="en-US"/>
      </w:rPr>
      <w:t xml:space="preserve">pLi – pristine </w:t>
    </w:r>
    <w:r>
      <w:rPr>
        <w:rFonts w:ascii="Times New Roman" w:hAnsi="Times New Roman" w:cs="Times New Roman"/>
        <w:sz w:val="18"/>
        <w:lang w:val="en-US"/>
      </w:rPr>
      <w:t>l</w:t>
    </w:r>
    <w:r w:rsidRPr="009F2841">
      <w:rPr>
        <w:rFonts w:ascii="Times New Roman" w:hAnsi="Times New Roman" w:cs="Times New Roman"/>
        <w:sz w:val="18"/>
        <w:lang w:val="en-US"/>
      </w:rPr>
      <w:t>ithium</w:t>
    </w:r>
    <w:r>
      <w:rPr>
        <w:rFonts w:ascii="Times New Roman" w:hAnsi="Times New Roman" w:cs="Times New Roman"/>
        <w:sz w:val="18"/>
        <w:lang w:val="en-US"/>
      </w:rPr>
      <w:t>;</w:t>
    </w:r>
    <w:r w:rsidRPr="009F2841">
      <w:rPr>
        <w:rFonts w:ascii="Times New Roman" w:hAnsi="Times New Roman" w:cs="Times New Roman"/>
        <w:sz w:val="18"/>
        <w:lang w:val="en-US"/>
      </w:rPr>
      <w:t xml:space="preserve"> </w:t>
    </w:r>
    <w:r>
      <w:rPr>
        <w:rFonts w:ascii="Times New Roman" w:hAnsi="Times New Roman" w:cs="Times New Roman"/>
        <w:sz w:val="18"/>
        <w:lang w:val="en-US"/>
      </w:rPr>
      <w:t>NPL – native passivation layer; BE – baseline electrolyte; AE – additive containing electrolyte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94FF8" w14:textId="77777777" w:rsidR="003B2AFE" w:rsidRDefault="003B2AFE" w:rsidP="009F2841">
      <w:pPr>
        <w:spacing w:after="0" w:line="240" w:lineRule="auto"/>
      </w:pPr>
      <w:r>
        <w:separator/>
      </w:r>
    </w:p>
  </w:footnote>
  <w:footnote w:type="continuationSeparator" w:id="0">
    <w:p w14:paraId="559A21DC" w14:textId="77777777" w:rsidR="003B2AFE" w:rsidRDefault="003B2AFE" w:rsidP="009F2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DA613F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661EB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AF51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8357B7"/>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67D48E5"/>
    <w:multiLevelType w:val="hybridMultilevel"/>
    <w:tmpl w:val="1682E1C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F5102B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5A40524"/>
    <w:multiLevelType w:val="hybridMultilevel"/>
    <w:tmpl w:val="B87A98F4"/>
    <w:lvl w:ilvl="0" w:tplc="0A92DCC8">
      <w:start w:val="1"/>
      <w:numFmt w:val="decimal"/>
      <w:lvlText w:val="%1."/>
      <w:lvlJc w:val="left"/>
      <w:pPr>
        <w:ind w:left="720" w:hanging="360"/>
      </w:pPr>
    </w:lvl>
    <w:lvl w:ilvl="1" w:tplc="AF142732">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6AA5A3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7EC1DB3"/>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15:restartNumberingAfterBreak="0">
    <w:nsid w:val="3B586C3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D070109"/>
    <w:multiLevelType w:val="hybridMultilevel"/>
    <w:tmpl w:val="7BD4EE24"/>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3D5C321E"/>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45BC6D4E"/>
    <w:multiLevelType w:val="hybridMultilevel"/>
    <w:tmpl w:val="3122348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466D0B2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F7A4DA8"/>
    <w:multiLevelType w:val="hybridMultilevel"/>
    <w:tmpl w:val="730057D6"/>
    <w:lvl w:ilvl="0" w:tplc="C204B9D6">
      <w:start w:val="1"/>
      <w:numFmt w:val="decimal"/>
      <w:lvlText w:val="%1."/>
      <w:lvlJc w:val="left"/>
      <w:pPr>
        <w:tabs>
          <w:tab w:val="num" w:pos="993"/>
        </w:tabs>
        <w:ind w:left="993" w:hanging="567"/>
      </w:pPr>
      <w:rPr>
        <w:rFonts w:ascii="MetaNormal-Roman" w:hAnsi="MetaNormal-Roman" w:cs="Arial" w:hint="default"/>
        <w:b w:val="0"/>
        <w:i w:val="0"/>
        <w:color w:val="auto"/>
        <w:sz w:val="24"/>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6205803"/>
    <w:multiLevelType w:val="multilevel"/>
    <w:tmpl w:val="897CCBF6"/>
    <w:lvl w:ilvl="0">
      <w:start w:val="1"/>
      <w:numFmt w:val="decimal"/>
      <w:pStyle w:val="MT1"/>
      <w:lvlText w:val="%1."/>
      <w:lvlJc w:val="left"/>
      <w:pPr>
        <w:ind w:left="360" w:hanging="360"/>
      </w:pPr>
    </w:lvl>
    <w:lvl w:ilvl="1">
      <w:start w:val="1"/>
      <w:numFmt w:val="decimal"/>
      <w:pStyle w:val="MT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4B77A3"/>
    <w:multiLevelType w:val="multilevel"/>
    <w:tmpl w:val="1E2855A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7" w15:restartNumberingAfterBreak="0">
    <w:nsid w:val="58FC76E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AB465C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F260A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F7A2705"/>
    <w:multiLevelType w:val="hybridMultilevel"/>
    <w:tmpl w:val="D534BA2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3BC74A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05731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DB4F7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E3A727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6197A99"/>
    <w:multiLevelType w:val="hybridMultilevel"/>
    <w:tmpl w:val="011A9C28"/>
    <w:lvl w:ilvl="0" w:tplc="3C5CF058">
      <w:start w:val="1"/>
      <w:numFmt w:val="decimal"/>
      <w:lvlText w:val="1.%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6F144A5"/>
    <w:multiLevelType w:val="hybridMultilevel"/>
    <w:tmpl w:val="730057D6"/>
    <w:lvl w:ilvl="0" w:tplc="C204B9D6">
      <w:start w:val="1"/>
      <w:numFmt w:val="decimal"/>
      <w:lvlText w:val="%1."/>
      <w:lvlJc w:val="left"/>
      <w:pPr>
        <w:tabs>
          <w:tab w:val="num" w:pos="993"/>
        </w:tabs>
        <w:ind w:left="993" w:hanging="567"/>
      </w:pPr>
      <w:rPr>
        <w:rFonts w:ascii="MetaNormal-Roman" w:hAnsi="MetaNormal-Roman" w:cs="Arial" w:hint="default"/>
        <w:b w:val="0"/>
        <w:i w:val="0"/>
        <w:color w:val="auto"/>
        <w:sz w:val="24"/>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76B0DE6"/>
    <w:multiLevelType w:val="hybridMultilevel"/>
    <w:tmpl w:val="328465A8"/>
    <w:lvl w:ilvl="0" w:tplc="6856374E">
      <w:start w:val="1"/>
      <w:numFmt w:val="upperLetter"/>
      <w:pStyle w:val="Formatvorlage1"/>
      <w:lvlText w:val="%1."/>
      <w:lvlJc w:val="left"/>
      <w:pPr>
        <w:ind w:left="720" w:hanging="360"/>
      </w:pPr>
      <w:rPr>
        <w:rFonts w:ascii="Times New Roman" w:eastAsiaTheme="minorHAns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A3C3021"/>
    <w:multiLevelType w:val="hybridMultilevel"/>
    <w:tmpl w:val="95C65B0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7"/>
  </w:num>
  <w:num w:numId="2">
    <w:abstractNumId w:val="4"/>
  </w:num>
  <w:num w:numId="3">
    <w:abstractNumId w:val="12"/>
  </w:num>
  <w:num w:numId="4">
    <w:abstractNumId w:val="10"/>
  </w:num>
  <w:num w:numId="5">
    <w:abstractNumId w:val="28"/>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5"/>
  </w:num>
  <w:num w:numId="9">
    <w:abstractNumId w:val="15"/>
  </w:num>
  <w:num w:numId="10">
    <w:abstractNumId w:val="22"/>
  </w:num>
  <w:num w:numId="11">
    <w:abstractNumId w:val="19"/>
  </w:num>
  <w:num w:numId="12">
    <w:abstractNumId w:val="24"/>
  </w:num>
  <w:num w:numId="13">
    <w:abstractNumId w:val="17"/>
  </w:num>
  <w:num w:numId="14">
    <w:abstractNumId w:val="18"/>
  </w:num>
  <w:num w:numId="15">
    <w:abstractNumId w:val="21"/>
  </w:num>
  <w:num w:numId="16">
    <w:abstractNumId w:val="13"/>
  </w:num>
  <w:num w:numId="17">
    <w:abstractNumId w:val="9"/>
  </w:num>
  <w:num w:numId="18">
    <w:abstractNumId w:val="3"/>
  </w:num>
  <w:num w:numId="19">
    <w:abstractNumId w:val="6"/>
  </w:num>
  <w:num w:numId="20">
    <w:abstractNumId w:val="5"/>
  </w:num>
  <w:num w:numId="21">
    <w:abstractNumId w:val="7"/>
  </w:num>
  <w:num w:numId="22">
    <w:abstractNumId w:val="23"/>
  </w:num>
  <w:num w:numId="23">
    <w:abstractNumId w:val="1"/>
  </w:num>
  <w:num w:numId="24">
    <w:abstractNumId w:val="11"/>
  </w:num>
  <w:num w:numId="25">
    <w:abstractNumId w:val="16"/>
  </w:num>
  <w:num w:numId="26">
    <w:abstractNumId w:val="8"/>
  </w:num>
  <w:num w:numId="27">
    <w:abstractNumId w:val="20"/>
  </w:num>
  <w:num w:numId="28">
    <w:abstractNumId w:val="26"/>
  </w:num>
  <w:num w:numId="29">
    <w:abstractNumId w:val="14"/>
  </w:num>
  <w:num w:numId="30">
    <w:abstractNumId w:val="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D5D"/>
    <w:rsid w:val="00007DC6"/>
    <w:rsid w:val="000156A9"/>
    <w:rsid w:val="00021776"/>
    <w:rsid w:val="0002391A"/>
    <w:rsid w:val="0002770E"/>
    <w:rsid w:val="00032803"/>
    <w:rsid w:val="0004333D"/>
    <w:rsid w:val="00043E81"/>
    <w:rsid w:val="00044AD6"/>
    <w:rsid w:val="00054D13"/>
    <w:rsid w:val="00061231"/>
    <w:rsid w:val="000612B6"/>
    <w:rsid w:val="00062FCF"/>
    <w:rsid w:val="00071828"/>
    <w:rsid w:val="0007296C"/>
    <w:rsid w:val="00072AD7"/>
    <w:rsid w:val="00074DFA"/>
    <w:rsid w:val="000759E4"/>
    <w:rsid w:val="00081331"/>
    <w:rsid w:val="000813A6"/>
    <w:rsid w:val="000862D3"/>
    <w:rsid w:val="0008691F"/>
    <w:rsid w:val="000A2B56"/>
    <w:rsid w:val="000A32ED"/>
    <w:rsid w:val="000A6FD1"/>
    <w:rsid w:val="000B4561"/>
    <w:rsid w:val="000C20DF"/>
    <w:rsid w:val="000D2302"/>
    <w:rsid w:val="000D6F68"/>
    <w:rsid w:val="000E2828"/>
    <w:rsid w:val="000E71FD"/>
    <w:rsid w:val="000F7F67"/>
    <w:rsid w:val="0010135D"/>
    <w:rsid w:val="001051FC"/>
    <w:rsid w:val="00106F24"/>
    <w:rsid w:val="00123C57"/>
    <w:rsid w:val="00124F8F"/>
    <w:rsid w:val="0012600C"/>
    <w:rsid w:val="00130195"/>
    <w:rsid w:val="00132578"/>
    <w:rsid w:val="001359E3"/>
    <w:rsid w:val="00135BF8"/>
    <w:rsid w:val="00145B92"/>
    <w:rsid w:val="00146C90"/>
    <w:rsid w:val="00152BAC"/>
    <w:rsid w:val="00156B75"/>
    <w:rsid w:val="0016418C"/>
    <w:rsid w:val="00164552"/>
    <w:rsid w:val="001710F7"/>
    <w:rsid w:val="00183305"/>
    <w:rsid w:val="0018535D"/>
    <w:rsid w:val="00193896"/>
    <w:rsid w:val="00194405"/>
    <w:rsid w:val="00194EA6"/>
    <w:rsid w:val="001A33A8"/>
    <w:rsid w:val="001A5E99"/>
    <w:rsid w:val="001A60DE"/>
    <w:rsid w:val="001B4BD6"/>
    <w:rsid w:val="001B6E69"/>
    <w:rsid w:val="001C07E0"/>
    <w:rsid w:val="001C10E5"/>
    <w:rsid w:val="001C3533"/>
    <w:rsid w:val="001D5B81"/>
    <w:rsid w:val="001D5CBC"/>
    <w:rsid w:val="001D7849"/>
    <w:rsid w:val="001E399C"/>
    <w:rsid w:val="001E4DE1"/>
    <w:rsid w:val="001E618D"/>
    <w:rsid w:val="001F133A"/>
    <w:rsid w:val="00200772"/>
    <w:rsid w:val="002033E5"/>
    <w:rsid w:val="0020699B"/>
    <w:rsid w:val="00212E87"/>
    <w:rsid w:val="00213693"/>
    <w:rsid w:val="00214590"/>
    <w:rsid w:val="002207A8"/>
    <w:rsid w:val="002222D9"/>
    <w:rsid w:val="002227A0"/>
    <w:rsid w:val="00226392"/>
    <w:rsid w:val="00232651"/>
    <w:rsid w:val="00233D48"/>
    <w:rsid w:val="00236918"/>
    <w:rsid w:val="00240354"/>
    <w:rsid w:val="0024536F"/>
    <w:rsid w:val="00245709"/>
    <w:rsid w:val="002567D8"/>
    <w:rsid w:val="00264C7B"/>
    <w:rsid w:val="0027029A"/>
    <w:rsid w:val="00274F55"/>
    <w:rsid w:val="002754C4"/>
    <w:rsid w:val="00282BCF"/>
    <w:rsid w:val="002856B7"/>
    <w:rsid w:val="00296F10"/>
    <w:rsid w:val="00297AA9"/>
    <w:rsid w:val="002A174D"/>
    <w:rsid w:val="002A5A88"/>
    <w:rsid w:val="002B14F4"/>
    <w:rsid w:val="002B22EB"/>
    <w:rsid w:val="002C5304"/>
    <w:rsid w:val="002C541A"/>
    <w:rsid w:val="002C7EA3"/>
    <w:rsid w:val="002D1143"/>
    <w:rsid w:val="002D1888"/>
    <w:rsid w:val="002D1CEA"/>
    <w:rsid w:val="002D23F1"/>
    <w:rsid w:val="002D6337"/>
    <w:rsid w:val="002E099D"/>
    <w:rsid w:val="002E3B72"/>
    <w:rsid w:val="002E5DCA"/>
    <w:rsid w:val="002F0269"/>
    <w:rsid w:val="002F15FD"/>
    <w:rsid w:val="002F1A79"/>
    <w:rsid w:val="002F493B"/>
    <w:rsid w:val="00311CEE"/>
    <w:rsid w:val="0031424F"/>
    <w:rsid w:val="00331E5A"/>
    <w:rsid w:val="00332E49"/>
    <w:rsid w:val="00333AFA"/>
    <w:rsid w:val="00344096"/>
    <w:rsid w:val="00347BA8"/>
    <w:rsid w:val="00370F9E"/>
    <w:rsid w:val="0037210A"/>
    <w:rsid w:val="003737A2"/>
    <w:rsid w:val="003756F5"/>
    <w:rsid w:val="00375D25"/>
    <w:rsid w:val="003800F5"/>
    <w:rsid w:val="00384800"/>
    <w:rsid w:val="003914F2"/>
    <w:rsid w:val="00391821"/>
    <w:rsid w:val="00393CB1"/>
    <w:rsid w:val="003A426C"/>
    <w:rsid w:val="003A69EF"/>
    <w:rsid w:val="003B0CE0"/>
    <w:rsid w:val="003B2AFE"/>
    <w:rsid w:val="003D0F88"/>
    <w:rsid w:val="003D175B"/>
    <w:rsid w:val="003D48A8"/>
    <w:rsid w:val="003D6C38"/>
    <w:rsid w:val="003F3C0F"/>
    <w:rsid w:val="003F6149"/>
    <w:rsid w:val="003F71B9"/>
    <w:rsid w:val="00400469"/>
    <w:rsid w:val="00401334"/>
    <w:rsid w:val="00403F10"/>
    <w:rsid w:val="0040610B"/>
    <w:rsid w:val="00411E37"/>
    <w:rsid w:val="00412123"/>
    <w:rsid w:val="00413377"/>
    <w:rsid w:val="004146BD"/>
    <w:rsid w:val="00432BC3"/>
    <w:rsid w:val="004348C6"/>
    <w:rsid w:val="00462E78"/>
    <w:rsid w:val="00467D5F"/>
    <w:rsid w:val="00473C1D"/>
    <w:rsid w:val="0047518C"/>
    <w:rsid w:val="00475E08"/>
    <w:rsid w:val="00480F2C"/>
    <w:rsid w:val="00495F52"/>
    <w:rsid w:val="004A3FAA"/>
    <w:rsid w:val="004A65B7"/>
    <w:rsid w:val="004A760A"/>
    <w:rsid w:val="004B11C1"/>
    <w:rsid w:val="004C45ED"/>
    <w:rsid w:val="004C7EF2"/>
    <w:rsid w:val="004D78B8"/>
    <w:rsid w:val="004D7A1B"/>
    <w:rsid w:val="004E51E2"/>
    <w:rsid w:val="004E5275"/>
    <w:rsid w:val="004F26D1"/>
    <w:rsid w:val="004F61AB"/>
    <w:rsid w:val="00510D5D"/>
    <w:rsid w:val="0051419C"/>
    <w:rsid w:val="00514E18"/>
    <w:rsid w:val="00521C62"/>
    <w:rsid w:val="00526FF4"/>
    <w:rsid w:val="00537D0B"/>
    <w:rsid w:val="005435AA"/>
    <w:rsid w:val="00545337"/>
    <w:rsid w:val="0054608C"/>
    <w:rsid w:val="00554E5A"/>
    <w:rsid w:val="005768C3"/>
    <w:rsid w:val="00577283"/>
    <w:rsid w:val="00582AFE"/>
    <w:rsid w:val="00586217"/>
    <w:rsid w:val="005916BE"/>
    <w:rsid w:val="00591798"/>
    <w:rsid w:val="00593B79"/>
    <w:rsid w:val="005965F1"/>
    <w:rsid w:val="005A5417"/>
    <w:rsid w:val="005A7483"/>
    <w:rsid w:val="005B0EAB"/>
    <w:rsid w:val="005C1B6E"/>
    <w:rsid w:val="005D439C"/>
    <w:rsid w:val="005D4CF1"/>
    <w:rsid w:val="005D64E7"/>
    <w:rsid w:val="005E2F79"/>
    <w:rsid w:val="005F0333"/>
    <w:rsid w:val="005F26AF"/>
    <w:rsid w:val="005F625D"/>
    <w:rsid w:val="00605702"/>
    <w:rsid w:val="006102D4"/>
    <w:rsid w:val="00613AAD"/>
    <w:rsid w:val="00615F09"/>
    <w:rsid w:val="006263CB"/>
    <w:rsid w:val="00627689"/>
    <w:rsid w:val="00632F74"/>
    <w:rsid w:val="00635EFA"/>
    <w:rsid w:val="00636FEE"/>
    <w:rsid w:val="00637262"/>
    <w:rsid w:val="006376C1"/>
    <w:rsid w:val="00642E40"/>
    <w:rsid w:val="0065175C"/>
    <w:rsid w:val="00654C31"/>
    <w:rsid w:val="00672016"/>
    <w:rsid w:val="006753B2"/>
    <w:rsid w:val="006803F4"/>
    <w:rsid w:val="006A2399"/>
    <w:rsid w:val="006A4AFB"/>
    <w:rsid w:val="006B060A"/>
    <w:rsid w:val="006B1FEF"/>
    <w:rsid w:val="006B23B9"/>
    <w:rsid w:val="006B4B75"/>
    <w:rsid w:val="006C05E2"/>
    <w:rsid w:val="006C2A81"/>
    <w:rsid w:val="006C6A5D"/>
    <w:rsid w:val="006D0516"/>
    <w:rsid w:val="006D0ADA"/>
    <w:rsid w:val="006D22FB"/>
    <w:rsid w:val="006D2CB7"/>
    <w:rsid w:val="006D41F6"/>
    <w:rsid w:val="006E09DA"/>
    <w:rsid w:val="006E1561"/>
    <w:rsid w:val="006E1DE3"/>
    <w:rsid w:val="006E2737"/>
    <w:rsid w:val="006E7B8C"/>
    <w:rsid w:val="006F1417"/>
    <w:rsid w:val="006F2D49"/>
    <w:rsid w:val="006F5ACE"/>
    <w:rsid w:val="00713167"/>
    <w:rsid w:val="007160F2"/>
    <w:rsid w:val="007179CA"/>
    <w:rsid w:val="00720549"/>
    <w:rsid w:val="00721A61"/>
    <w:rsid w:val="00722276"/>
    <w:rsid w:val="0072610C"/>
    <w:rsid w:val="007261BF"/>
    <w:rsid w:val="007267BA"/>
    <w:rsid w:val="0073049B"/>
    <w:rsid w:val="00732638"/>
    <w:rsid w:val="00733D79"/>
    <w:rsid w:val="007361F1"/>
    <w:rsid w:val="00746D59"/>
    <w:rsid w:val="0075243A"/>
    <w:rsid w:val="00761E47"/>
    <w:rsid w:val="00773314"/>
    <w:rsid w:val="00775373"/>
    <w:rsid w:val="00776320"/>
    <w:rsid w:val="00780265"/>
    <w:rsid w:val="0078152D"/>
    <w:rsid w:val="00784A66"/>
    <w:rsid w:val="00791406"/>
    <w:rsid w:val="00791DD5"/>
    <w:rsid w:val="00795286"/>
    <w:rsid w:val="007A271C"/>
    <w:rsid w:val="007A31E9"/>
    <w:rsid w:val="007A3DC2"/>
    <w:rsid w:val="007A59DD"/>
    <w:rsid w:val="007C1004"/>
    <w:rsid w:val="007C118A"/>
    <w:rsid w:val="007C2AEF"/>
    <w:rsid w:val="007C5EE7"/>
    <w:rsid w:val="007D0A03"/>
    <w:rsid w:val="007D30BD"/>
    <w:rsid w:val="007D45EA"/>
    <w:rsid w:val="007D4E85"/>
    <w:rsid w:val="007D555B"/>
    <w:rsid w:val="007E351E"/>
    <w:rsid w:val="00802A35"/>
    <w:rsid w:val="00803D3D"/>
    <w:rsid w:val="00805F1D"/>
    <w:rsid w:val="00807574"/>
    <w:rsid w:val="00807F79"/>
    <w:rsid w:val="00816400"/>
    <w:rsid w:val="00824CC6"/>
    <w:rsid w:val="008335A1"/>
    <w:rsid w:val="008526FD"/>
    <w:rsid w:val="00852B15"/>
    <w:rsid w:val="008607BC"/>
    <w:rsid w:val="008613FD"/>
    <w:rsid w:val="00863359"/>
    <w:rsid w:val="00874E99"/>
    <w:rsid w:val="00877DCD"/>
    <w:rsid w:val="008827C8"/>
    <w:rsid w:val="0088377E"/>
    <w:rsid w:val="00884452"/>
    <w:rsid w:val="00890322"/>
    <w:rsid w:val="00896BBE"/>
    <w:rsid w:val="008973EB"/>
    <w:rsid w:val="008A1F62"/>
    <w:rsid w:val="008A206C"/>
    <w:rsid w:val="008A228F"/>
    <w:rsid w:val="008A3252"/>
    <w:rsid w:val="008A7A0A"/>
    <w:rsid w:val="008B5D54"/>
    <w:rsid w:val="008D08A9"/>
    <w:rsid w:val="008E18E1"/>
    <w:rsid w:val="008E2385"/>
    <w:rsid w:val="008E6300"/>
    <w:rsid w:val="008E7E3C"/>
    <w:rsid w:val="008F16CC"/>
    <w:rsid w:val="008F3A7A"/>
    <w:rsid w:val="008F6A4D"/>
    <w:rsid w:val="009023BC"/>
    <w:rsid w:val="00912A9E"/>
    <w:rsid w:val="009156CE"/>
    <w:rsid w:val="009253DA"/>
    <w:rsid w:val="0093344E"/>
    <w:rsid w:val="00935ECC"/>
    <w:rsid w:val="00936028"/>
    <w:rsid w:val="00940609"/>
    <w:rsid w:val="0094574F"/>
    <w:rsid w:val="00954135"/>
    <w:rsid w:val="00955168"/>
    <w:rsid w:val="009561ED"/>
    <w:rsid w:val="00961B06"/>
    <w:rsid w:val="009659B5"/>
    <w:rsid w:val="00987424"/>
    <w:rsid w:val="00991902"/>
    <w:rsid w:val="00992E00"/>
    <w:rsid w:val="009A1E65"/>
    <w:rsid w:val="009A3A0D"/>
    <w:rsid w:val="009A516B"/>
    <w:rsid w:val="009A6E80"/>
    <w:rsid w:val="009B1737"/>
    <w:rsid w:val="009B5D75"/>
    <w:rsid w:val="009B6622"/>
    <w:rsid w:val="009B7CBF"/>
    <w:rsid w:val="009D41AD"/>
    <w:rsid w:val="009D5E48"/>
    <w:rsid w:val="009E0E3C"/>
    <w:rsid w:val="009E1527"/>
    <w:rsid w:val="009E633E"/>
    <w:rsid w:val="009F015B"/>
    <w:rsid w:val="009F2841"/>
    <w:rsid w:val="009F54AD"/>
    <w:rsid w:val="009F7253"/>
    <w:rsid w:val="00A00950"/>
    <w:rsid w:val="00A02BEA"/>
    <w:rsid w:val="00A044EC"/>
    <w:rsid w:val="00A05159"/>
    <w:rsid w:val="00A0526E"/>
    <w:rsid w:val="00A05F59"/>
    <w:rsid w:val="00A12CB5"/>
    <w:rsid w:val="00A17BA8"/>
    <w:rsid w:val="00A217C6"/>
    <w:rsid w:val="00A22775"/>
    <w:rsid w:val="00A23697"/>
    <w:rsid w:val="00A30BFB"/>
    <w:rsid w:val="00A31074"/>
    <w:rsid w:val="00A35ADC"/>
    <w:rsid w:val="00A36244"/>
    <w:rsid w:val="00A375D9"/>
    <w:rsid w:val="00A43182"/>
    <w:rsid w:val="00A46D20"/>
    <w:rsid w:val="00A5109C"/>
    <w:rsid w:val="00A542D7"/>
    <w:rsid w:val="00A54F9B"/>
    <w:rsid w:val="00A60EA2"/>
    <w:rsid w:val="00A6645B"/>
    <w:rsid w:val="00A6697C"/>
    <w:rsid w:val="00A75202"/>
    <w:rsid w:val="00A8061A"/>
    <w:rsid w:val="00A816E0"/>
    <w:rsid w:val="00A949EF"/>
    <w:rsid w:val="00A94A57"/>
    <w:rsid w:val="00AA2C41"/>
    <w:rsid w:val="00AA327C"/>
    <w:rsid w:val="00AA3C51"/>
    <w:rsid w:val="00AA4D1F"/>
    <w:rsid w:val="00AC10DD"/>
    <w:rsid w:val="00AD0955"/>
    <w:rsid w:val="00AD3830"/>
    <w:rsid w:val="00AD4D5A"/>
    <w:rsid w:val="00AD7D28"/>
    <w:rsid w:val="00AE0F6E"/>
    <w:rsid w:val="00AF2261"/>
    <w:rsid w:val="00AF56B5"/>
    <w:rsid w:val="00AF6D7A"/>
    <w:rsid w:val="00B03D10"/>
    <w:rsid w:val="00B064D8"/>
    <w:rsid w:val="00B07D68"/>
    <w:rsid w:val="00B1007F"/>
    <w:rsid w:val="00B124D3"/>
    <w:rsid w:val="00B17EA0"/>
    <w:rsid w:val="00B21853"/>
    <w:rsid w:val="00B27A73"/>
    <w:rsid w:val="00B30EB9"/>
    <w:rsid w:val="00B35892"/>
    <w:rsid w:val="00B3640D"/>
    <w:rsid w:val="00B37102"/>
    <w:rsid w:val="00B42A80"/>
    <w:rsid w:val="00B45083"/>
    <w:rsid w:val="00B51561"/>
    <w:rsid w:val="00B53A22"/>
    <w:rsid w:val="00B552F5"/>
    <w:rsid w:val="00B6022E"/>
    <w:rsid w:val="00B61DDC"/>
    <w:rsid w:val="00B63707"/>
    <w:rsid w:val="00B67B81"/>
    <w:rsid w:val="00B745FA"/>
    <w:rsid w:val="00B90812"/>
    <w:rsid w:val="00B938C8"/>
    <w:rsid w:val="00B93F18"/>
    <w:rsid w:val="00B94B0E"/>
    <w:rsid w:val="00B95EFB"/>
    <w:rsid w:val="00BA10F6"/>
    <w:rsid w:val="00BA4AAD"/>
    <w:rsid w:val="00BB29D1"/>
    <w:rsid w:val="00BB7319"/>
    <w:rsid w:val="00BC3B0F"/>
    <w:rsid w:val="00BC5932"/>
    <w:rsid w:val="00BC6944"/>
    <w:rsid w:val="00BD0C20"/>
    <w:rsid w:val="00BD140E"/>
    <w:rsid w:val="00BD33CD"/>
    <w:rsid w:val="00BD37A2"/>
    <w:rsid w:val="00BE6EE7"/>
    <w:rsid w:val="00BF4A78"/>
    <w:rsid w:val="00C02A84"/>
    <w:rsid w:val="00C04797"/>
    <w:rsid w:val="00C056B4"/>
    <w:rsid w:val="00C17171"/>
    <w:rsid w:val="00C20550"/>
    <w:rsid w:val="00C21E89"/>
    <w:rsid w:val="00C232DC"/>
    <w:rsid w:val="00C24D1A"/>
    <w:rsid w:val="00C25253"/>
    <w:rsid w:val="00C2663A"/>
    <w:rsid w:val="00C30674"/>
    <w:rsid w:val="00C514C4"/>
    <w:rsid w:val="00C57F37"/>
    <w:rsid w:val="00C66A65"/>
    <w:rsid w:val="00C7038E"/>
    <w:rsid w:val="00C73E48"/>
    <w:rsid w:val="00C76577"/>
    <w:rsid w:val="00C807F7"/>
    <w:rsid w:val="00C95BE3"/>
    <w:rsid w:val="00CA1D54"/>
    <w:rsid w:val="00CB2F4F"/>
    <w:rsid w:val="00CB799A"/>
    <w:rsid w:val="00CC34CC"/>
    <w:rsid w:val="00CC4425"/>
    <w:rsid w:val="00CC5FA8"/>
    <w:rsid w:val="00CE136E"/>
    <w:rsid w:val="00CE15A6"/>
    <w:rsid w:val="00CE2383"/>
    <w:rsid w:val="00CE2D01"/>
    <w:rsid w:val="00CE5A15"/>
    <w:rsid w:val="00CE66F5"/>
    <w:rsid w:val="00CF1542"/>
    <w:rsid w:val="00CF7141"/>
    <w:rsid w:val="00D0147A"/>
    <w:rsid w:val="00D0733F"/>
    <w:rsid w:val="00D11C53"/>
    <w:rsid w:val="00D2008D"/>
    <w:rsid w:val="00D22046"/>
    <w:rsid w:val="00D34F36"/>
    <w:rsid w:val="00D36B42"/>
    <w:rsid w:val="00D40572"/>
    <w:rsid w:val="00D42E79"/>
    <w:rsid w:val="00D43CEC"/>
    <w:rsid w:val="00D47C76"/>
    <w:rsid w:val="00D54EAD"/>
    <w:rsid w:val="00D67A83"/>
    <w:rsid w:val="00D71859"/>
    <w:rsid w:val="00D73C4E"/>
    <w:rsid w:val="00D74FE0"/>
    <w:rsid w:val="00D84117"/>
    <w:rsid w:val="00D85444"/>
    <w:rsid w:val="00D876F2"/>
    <w:rsid w:val="00D93A61"/>
    <w:rsid w:val="00DA3FAC"/>
    <w:rsid w:val="00DB20A9"/>
    <w:rsid w:val="00DC2A7E"/>
    <w:rsid w:val="00DC3C38"/>
    <w:rsid w:val="00DD5120"/>
    <w:rsid w:val="00DD6AB8"/>
    <w:rsid w:val="00DE01AA"/>
    <w:rsid w:val="00DE628B"/>
    <w:rsid w:val="00DE7AF5"/>
    <w:rsid w:val="00DF25C9"/>
    <w:rsid w:val="00DF3B53"/>
    <w:rsid w:val="00DF4DB9"/>
    <w:rsid w:val="00E01AA4"/>
    <w:rsid w:val="00E10E29"/>
    <w:rsid w:val="00E16440"/>
    <w:rsid w:val="00E26D50"/>
    <w:rsid w:val="00E27985"/>
    <w:rsid w:val="00E32F3C"/>
    <w:rsid w:val="00E67610"/>
    <w:rsid w:val="00E72BE2"/>
    <w:rsid w:val="00E740D5"/>
    <w:rsid w:val="00E77051"/>
    <w:rsid w:val="00E84C7C"/>
    <w:rsid w:val="00E8548D"/>
    <w:rsid w:val="00E85A8B"/>
    <w:rsid w:val="00E87773"/>
    <w:rsid w:val="00E90EAA"/>
    <w:rsid w:val="00EA101B"/>
    <w:rsid w:val="00EB0228"/>
    <w:rsid w:val="00EB5A29"/>
    <w:rsid w:val="00EC472D"/>
    <w:rsid w:val="00ED203C"/>
    <w:rsid w:val="00EE1AFA"/>
    <w:rsid w:val="00EE3D45"/>
    <w:rsid w:val="00EF2153"/>
    <w:rsid w:val="00EF417F"/>
    <w:rsid w:val="00EF7501"/>
    <w:rsid w:val="00EF79D5"/>
    <w:rsid w:val="00F06BFE"/>
    <w:rsid w:val="00F07AF7"/>
    <w:rsid w:val="00F13CBD"/>
    <w:rsid w:val="00F15C1B"/>
    <w:rsid w:val="00F219A8"/>
    <w:rsid w:val="00F24338"/>
    <w:rsid w:val="00F36FEE"/>
    <w:rsid w:val="00F44073"/>
    <w:rsid w:val="00F4604F"/>
    <w:rsid w:val="00F47089"/>
    <w:rsid w:val="00F561A9"/>
    <w:rsid w:val="00F6543B"/>
    <w:rsid w:val="00F65E32"/>
    <w:rsid w:val="00F717B5"/>
    <w:rsid w:val="00F71A95"/>
    <w:rsid w:val="00F740D4"/>
    <w:rsid w:val="00F74D28"/>
    <w:rsid w:val="00F87A19"/>
    <w:rsid w:val="00FA0AE6"/>
    <w:rsid w:val="00FA1AA6"/>
    <w:rsid w:val="00FA5B2B"/>
    <w:rsid w:val="00FA6169"/>
    <w:rsid w:val="00FB3BD8"/>
    <w:rsid w:val="00FC13C2"/>
    <w:rsid w:val="00FC47EB"/>
    <w:rsid w:val="00FC54F8"/>
    <w:rsid w:val="00FE2805"/>
    <w:rsid w:val="00FE4B24"/>
    <w:rsid w:val="00FE7CA1"/>
    <w:rsid w:val="00FF2699"/>
    <w:rsid w:val="00FF39BC"/>
    <w:rsid w:val="00FF3A0B"/>
    <w:rsid w:val="00FF49D8"/>
    <w:rsid w:val="00FF70E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4DEE"/>
  <w15:chartTrackingRefBased/>
  <w15:docId w15:val="{8CA5512D-9609-4B2B-9BDE-801C3B64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82AFE"/>
  </w:style>
  <w:style w:type="paragraph" w:styleId="berschrift1">
    <w:name w:val="heading 1"/>
    <w:basedOn w:val="Standard"/>
    <w:link w:val="berschrift1Zchn"/>
    <w:uiPriority w:val="9"/>
    <w:qFormat/>
    <w:rsid w:val="00D2008D"/>
    <w:pPr>
      <w:numPr>
        <w:numId w:val="26"/>
      </w:numPr>
      <w:spacing w:before="100" w:beforeAutospacing="1" w:after="240" w:line="240" w:lineRule="auto"/>
      <w:ind w:left="431" w:hanging="431"/>
      <w:outlineLvl w:val="0"/>
    </w:pPr>
    <w:rPr>
      <w:rFonts w:ascii="Times New Roman" w:eastAsia="Times New Roman" w:hAnsi="Times New Roman" w:cs="Times New Roman"/>
      <w:b/>
      <w:bCs/>
      <w:kern w:val="36"/>
      <w:sz w:val="20"/>
      <w:szCs w:val="48"/>
      <w:lang w:eastAsia="de-DE"/>
    </w:rPr>
  </w:style>
  <w:style w:type="paragraph" w:styleId="berschrift2">
    <w:name w:val="heading 2"/>
    <w:basedOn w:val="berschrift1"/>
    <w:next w:val="Standard"/>
    <w:link w:val="berschrift2Zchn"/>
    <w:uiPriority w:val="9"/>
    <w:unhideWhenUsed/>
    <w:qFormat/>
    <w:rsid w:val="00D2008D"/>
    <w:pPr>
      <w:numPr>
        <w:ilvl w:val="1"/>
      </w:numPr>
      <w:outlineLvl w:val="1"/>
    </w:pPr>
    <w:rPr>
      <w:b w:val="0"/>
      <w:i/>
      <w:lang w:val="en-US"/>
    </w:rPr>
  </w:style>
  <w:style w:type="paragraph" w:styleId="berschrift3">
    <w:name w:val="heading 3"/>
    <w:basedOn w:val="Standard"/>
    <w:next w:val="Standard"/>
    <w:link w:val="berschrift3Zchn"/>
    <w:uiPriority w:val="9"/>
    <w:semiHidden/>
    <w:unhideWhenUsed/>
    <w:qFormat/>
    <w:rsid w:val="00D2008D"/>
    <w:pPr>
      <w:keepNext/>
      <w:keepLines/>
      <w:numPr>
        <w:ilvl w:val="2"/>
        <w:numId w:val="26"/>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D2008D"/>
    <w:pPr>
      <w:keepNext/>
      <w:keepLines/>
      <w:numPr>
        <w:ilvl w:val="3"/>
        <w:numId w:val="26"/>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D2008D"/>
    <w:pPr>
      <w:keepNext/>
      <w:keepLines/>
      <w:numPr>
        <w:ilvl w:val="4"/>
        <w:numId w:val="26"/>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D2008D"/>
    <w:pPr>
      <w:keepNext/>
      <w:keepLines/>
      <w:numPr>
        <w:ilvl w:val="5"/>
        <w:numId w:val="26"/>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D2008D"/>
    <w:pPr>
      <w:keepNext/>
      <w:keepLines/>
      <w:numPr>
        <w:ilvl w:val="6"/>
        <w:numId w:val="26"/>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D2008D"/>
    <w:pPr>
      <w:keepNext/>
      <w:keepLines/>
      <w:numPr>
        <w:ilvl w:val="7"/>
        <w:numId w:val="26"/>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D2008D"/>
    <w:pPr>
      <w:keepNext/>
      <w:keepLines/>
      <w:numPr>
        <w:ilvl w:val="8"/>
        <w:numId w:val="2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072AD7"/>
    <w:rPr>
      <w:sz w:val="16"/>
      <w:szCs w:val="16"/>
    </w:rPr>
  </w:style>
  <w:style w:type="paragraph" w:styleId="Kommentartext">
    <w:name w:val="annotation text"/>
    <w:basedOn w:val="Standard"/>
    <w:link w:val="KommentartextZchn"/>
    <w:uiPriority w:val="99"/>
    <w:semiHidden/>
    <w:unhideWhenUsed/>
    <w:rsid w:val="00072AD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2AD7"/>
    <w:rPr>
      <w:sz w:val="20"/>
      <w:szCs w:val="20"/>
    </w:rPr>
  </w:style>
  <w:style w:type="paragraph" w:styleId="Kommentarthema">
    <w:name w:val="annotation subject"/>
    <w:basedOn w:val="Kommentartext"/>
    <w:next w:val="Kommentartext"/>
    <w:link w:val="KommentarthemaZchn"/>
    <w:uiPriority w:val="99"/>
    <w:semiHidden/>
    <w:unhideWhenUsed/>
    <w:rsid w:val="00072AD7"/>
    <w:rPr>
      <w:b/>
      <w:bCs/>
    </w:rPr>
  </w:style>
  <w:style w:type="character" w:customStyle="1" w:styleId="KommentarthemaZchn">
    <w:name w:val="Kommentarthema Zchn"/>
    <w:basedOn w:val="KommentartextZchn"/>
    <w:link w:val="Kommentarthema"/>
    <w:uiPriority w:val="99"/>
    <w:semiHidden/>
    <w:rsid w:val="00072AD7"/>
    <w:rPr>
      <w:b/>
      <w:bCs/>
      <w:sz w:val="20"/>
      <w:szCs w:val="20"/>
    </w:rPr>
  </w:style>
  <w:style w:type="paragraph" w:styleId="Sprechblasentext">
    <w:name w:val="Balloon Text"/>
    <w:basedOn w:val="Standard"/>
    <w:link w:val="SprechblasentextZchn"/>
    <w:uiPriority w:val="99"/>
    <w:semiHidden/>
    <w:unhideWhenUsed/>
    <w:rsid w:val="00072A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2AD7"/>
    <w:rPr>
      <w:rFonts w:ascii="Segoe UI" w:hAnsi="Segoe UI" w:cs="Segoe UI"/>
      <w:sz w:val="18"/>
      <w:szCs w:val="18"/>
    </w:rPr>
  </w:style>
  <w:style w:type="paragraph" w:styleId="Beschriftung">
    <w:name w:val="caption"/>
    <w:aliases w:val="Text"/>
    <w:basedOn w:val="Standard"/>
    <w:next w:val="Standard"/>
    <w:uiPriority w:val="35"/>
    <w:unhideWhenUsed/>
    <w:qFormat/>
    <w:rsid w:val="00AC10DD"/>
    <w:pPr>
      <w:ind w:firstLine="227"/>
      <w:jc w:val="both"/>
    </w:pPr>
    <w:rPr>
      <w:rFonts w:ascii="Times New Roman" w:hAnsi="Times New Roman" w:cs="Times New Roman"/>
      <w:sz w:val="20"/>
      <w:szCs w:val="24"/>
    </w:rPr>
  </w:style>
  <w:style w:type="character" w:customStyle="1" w:styleId="berschrift1Zchn">
    <w:name w:val="Überschrift 1 Zchn"/>
    <w:basedOn w:val="Absatz-Standardschriftart"/>
    <w:link w:val="berschrift1"/>
    <w:uiPriority w:val="9"/>
    <w:rsid w:val="00D2008D"/>
    <w:rPr>
      <w:rFonts w:ascii="Times New Roman" w:eastAsia="Times New Roman" w:hAnsi="Times New Roman" w:cs="Times New Roman"/>
      <w:b/>
      <w:bCs/>
      <w:kern w:val="36"/>
      <w:sz w:val="20"/>
      <w:szCs w:val="48"/>
      <w:lang w:eastAsia="de-DE"/>
    </w:rPr>
  </w:style>
  <w:style w:type="paragraph" w:customStyle="1" w:styleId="Addresses">
    <w:name w:val="Addresses"/>
    <w:basedOn w:val="Standard"/>
    <w:rsid w:val="00780265"/>
    <w:pPr>
      <w:spacing w:after="0" w:line="240" w:lineRule="auto"/>
    </w:pPr>
    <w:rPr>
      <w:rFonts w:ascii="Times New Roman" w:eastAsia="MS Mincho" w:hAnsi="Times New Roman" w:cs="Times New Roman"/>
      <w:sz w:val="24"/>
      <w:szCs w:val="24"/>
      <w:lang w:val="en-US" w:eastAsia="ja-JP"/>
    </w:rPr>
  </w:style>
  <w:style w:type="character" w:customStyle="1" w:styleId="berschrift2Zchn">
    <w:name w:val="Überschrift 2 Zchn"/>
    <w:basedOn w:val="Absatz-Standardschriftart"/>
    <w:link w:val="berschrift2"/>
    <w:uiPriority w:val="9"/>
    <w:rsid w:val="00D2008D"/>
    <w:rPr>
      <w:rFonts w:ascii="Times New Roman" w:eastAsia="Times New Roman" w:hAnsi="Times New Roman" w:cs="Times New Roman"/>
      <w:bCs/>
      <w:i/>
      <w:kern w:val="36"/>
      <w:sz w:val="20"/>
      <w:szCs w:val="48"/>
      <w:lang w:val="en-US" w:eastAsia="de-DE"/>
    </w:rPr>
  </w:style>
  <w:style w:type="paragraph" w:styleId="KeinLeerraum">
    <w:name w:val="No Spacing"/>
    <w:uiPriority w:val="1"/>
    <w:qFormat/>
    <w:rsid w:val="005916BE"/>
    <w:pPr>
      <w:spacing w:after="0" w:line="240" w:lineRule="auto"/>
    </w:pPr>
  </w:style>
  <w:style w:type="paragraph" w:styleId="Listenabsatz">
    <w:name w:val="List Paragraph"/>
    <w:basedOn w:val="Standard"/>
    <w:uiPriority w:val="34"/>
    <w:qFormat/>
    <w:rsid w:val="00605702"/>
    <w:pPr>
      <w:ind w:left="720"/>
      <w:contextualSpacing/>
    </w:pPr>
  </w:style>
  <w:style w:type="paragraph" w:styleId="StandardWeb">
    <w:name w:val="Normal (Web)"/>
    <w:basedOn w:val="Standard"/>
    <w:uiPriority w:val="99"/>
    <w:semiHidden/>
    <w:unhideWhenUsed/>
    <w:rsid w:val="00E8548D"/>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unhideWhenUsed/>
    <w:rsid w:val="00BB29D1"/>
    <w:rPr>
      <w:color w:val="0000FF"/>
      <w:u w:val="single"/>
    </w:rPr>
  </w:style>
  <w:style w:type="paragraph" w:customStyle="1" w:styleId="Els-1storder-head">
    <w:name w:val="Els-1storder-head"/>
    <w:next w:val="Standard"/>
    <w:rsid w:val="007C5EE7"/>
    <w:pPr>
      <w:keepNext/>
      <w:numPr>
        <w:numId w:val="24"/>
      </w:numPr>
      <w:suppressAutoHyphens/>
      <w:spacing w:before="240" w:after="240" w:line="240" w:lineRule="exact"/>
    </w:pPr>
    <w:rPr>
      <w:rFonts w:ascii="Times New Roman" w:eastAsia="SimSun" w:hAnsi="Times New Roman" w:cs="Times New Roman"/>
      <w:b/>
      <w:sz w:val="20"/>
      <w:szCs w:val="20"/>
      <w:lang w:val="en-US"/>
    </w:rPr>
  </w:style>
  <w:style w:type="paragraph" w:customStyle="1" w:styleId="Els-2ndorder-head">
    <w:name w:val="Els-2ndorder-head"/>
    <w:next w:val="Standard"/>
    <w:link w:val="Els-2ndorder-headZchn"/>
    <w:rsid w:val="007C5EE7"/>
    <w:pPr>
      <w:keepNext/>
      <w:numPr>
        <w:ilvl w:val="1"/>
        <w:numId w:val="24"/>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Standard"/>
    <w:rsid w:val="007C5EE7"/>
    <w:pPr>
      <w:keepNext/>
      <w:numPr>
        <w:ilvl w:val="2"/>
        <w:numId w:val="24"/>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Standard"/>
    <w:rsid w:val="007C5EE7"/>
    <w:pPr>
      <w:keepNext/>
      <w:numPr>
        <w:ilvl w:val="3"/>
        <w:numId w:val="24"/>
      </w:numPr>
      <w:suppressAutoHyphens/>
      <w:spacing w:before="240" w:after="0" w:line="240" w:lineRule="exact"/>
    </w:pPr>
    <w:rPr>
      <w:rFonts w:ascii="Times New Roman" w:eastAsia="SimSun" w:hAnsi="Times New Roman" w:cs="Times New Roman"/>
      <w:i/>
      <w:sz w:val="20"/>
      <w:szCs w:val="20"/>
      <w:lang w:val="en-US"/>
    </w:rPr>
  </w:style>
  <w:style w:type="character" w:customStyle="1" w:styleId="berschrift3Zchn">
    <w:name w:val="Überschrift 3 Zchn"/>
    <w:basedOn w:val="Absatz-Standardschriftart"/>
    <w:link w:val="berschrift3"/>
    <w:uiPriority w:val="9"/>
    <w:semiHidden/>
    <w:rsid w:val="00D2008D"/>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D2008D"/>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D2008D"/>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D2008D"/>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D2008D"/>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D2008D"/>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2008D"/>
    <w:rPr>
      <w:rFonts w:asciiTheme="majorHAnsi" w:eastAsiaTheme="majorEastAsia" w:hAnsiTheme="majorHAnsi" w:cstheme="majorBidi"/>
      <w:i/>
      <w:iCs/>
      <w:color w:val="272727" w:themeColor="text1" w:themeTint="D8"/>
      <w:sz w:val="21"/>
      <w:szCs w:val="21"/>
    </w:rPr>
  </w:style>
  <w:style w:type="paragraph" w:styleId="Untertitel">
    <w:name w:val="Subtitle"/>
    <w:basedOn w:val="Beschriftung"/>
    <w:next w:val="Standard"/>
    <w:link w:val="UntertitelZchn"/>
    <w:uiPriority w:val="11"/>
    <w:qFormat/>
    <w:rsid w:val="00AC10DD"/>
    <w:pPr>
      <w:ind w:firstLine="0"/>
    </w:pPr>
    <w:rPr>
      <w:sz w:val="16"/>
      <w:lang w:val="en-US"/>
    </w:rPr>
  </w:style>
  <w:style w:type="character" w:customStyle="1" w:styleId="UntertitelZchn">
    <w:name w:val="Untertitel Zchn"/>
    <w:basedOn w:val="Absatz-Standardschriftart"/>
    <w:link w:val="Untertitel"/>
    <w:uiPriority w:val="11"/>
    <w:rsid w:val="00AC10DD"/>
    <w:rPr>
      <w:rFonts w:ascii="Times New Roman" w:hAnsi="Times New Roman" w:cs="Times New Roman"/>
      <w:sz w:val="16"/>
      <w:szCs w:val="24"/>
      <w:lang w:val="en-US"/>
    </w:rPr>
  </w:style>
  <w:style w:type="paragraph" w:styleId="berarbeitung">
    <w:name w:val="Revision"/>
    <w:hidden/>
    <w:uiPriority w:val="99"/>
    <w:semiHidden/>
    <w:rsid w:val="003F6149"/>
    <w:pPr>
      <w:spacing w:after="0" w:line="240" w:lineRule="auto"/>
    </w:pPr>
  </w:style>
  <w:style w:type="paragraph" w:styleId="Liste5">
    <w:name w:val="List 5"/>
    <w:basedOn w:val="Standard"/>
    <w:uiPriority w:val="99"/>
    <w:unhideWhenUsed/>
    <w:rsid w:val="00A816E0"/>
    <w:pPr>
      <w:spacing w:after="20" w:line="240" w:lineRule="auto"/>
      <w:ind w:left="1415" w:hanging="283"/>
      <w:contextualSpacing/>
    </w:pPr>
    <w:rPr>
      <w:rFonts w:ascii="Times New Roman" w:eastAsia="Times New Roman" w:hAnsi="Times New Roman" w:cs="Times New Roman"/>
      <w:sz w:val="26"/>
      <w:szCs w:val="20"/>
      <w:lang w:val="en-GB" w:eastAsia="de-DE"/>
    </w:rPr>
  </w:style>
  <w:style w:type="paragraph" w:styleId="Aufzhlungszeichen">
    <w:name w:val="List Bullet"/>
    <w:basedOn w:val="Standard"/>
    <w:uiPriority w:val="99"/>
    <w:unhideWhenUsed/>
    <w:rsid w:val="008335A1"/>
    <w:pPr>
      <w:numPr>
        <w:numId w:val="30"/>
      </w:numPr>
      <w:contextualSpacing/>
    </w:pPr>
  </w:style>
  <w:style w:type="paragraph" w:customStyle="1" w:styleId="Els-body-text">
    <w:name w:val="Els-body-text"/>
    <w:rsid w:val="009F2841"/>
    <w:pPr>
      <w:spacing w:after="0" w:line="240" w:lineRule="exact"/>
      <w:ind w:firstLine="238"/>
      <w:jc w:val="both"/>
    </w:pPr>
    <w:rPr>
      <w:rFonts w:ascii="Times New Roman" w:eastAsia="SimSun" w:hAnsi="Times New Roman" w:cs="Times New Roman"/>
      <w:sz w:val="20"/>
      <w:szCs w:val="20"/>
      <w:lang w:val="en-US"/>
    </w:rPr>
  </w:style>
  <w:style w:type="paragraph" w:customStyle="1" w:styleId="Formatvorlage1">
    <w:name w:val="Formatvorlage1"/>
    <w:basedOn w:val="Els-1storder-head"/>
    <w:link w:val="Formatvorlage1Zchn"/>
    <w:qFormat/>
    <w:rsid w:val="009F2841"/>
    <w:pPr>
      <w:numPr>
        <w:numId w:val="1"/>
      </w:numPr>
    </w:pPr>
  </w:style>
  <w:style w:type="character" w:customStyle="1" w:styleId="Els-2ndorder-headZchn">
    <w:name w:val="Els-2ndorder-head Zchn"/>
    <w:basedOn w:val="Absatz-Standardschriftart"/>
    <w:link w:val="Els-2ndorder-head"/>
    <w:rsid w:val="009F2841"/>
    <w:rPr>
      <w:rFonts w:ascii="Times New Roman" w:eastAsia="SimSun" w:hAnsi="Times New Roman" w:cs="Times New Roman"/>
      <w:i/>
      <w:sz w:val="20"/>
      <w:szCs w:val="20"/>
      <w:lang w:val="en-US"/>
    </w:rPr>
  </w:style>
  <w:style w:type="character" w:customStyle="1" w:styleId="Formatvorlage1Zchn">
    <w:name w:val="Formatvorlage1 Zchn"/>
    <w:basedOn w:val="Absatz-Standardschriftart"/>
    <w:link w:val="Formatvorlage1"/>
    <w:rsid w:val="009F2841"/>
    <w:rPr>
      <w:rFonts w:ascii="Times New Roman" w:eastAsia="SimSun" w:hAnsi="Times New Roman" w:cs="Times New Roman"/>
      <w:b/>
      <w:sz w:val="20"/>
      <w:szCs w:val="20"/>
      <w:lang w:val="en-US"/>
    </w:rPr>
  </w:style>
  <w:style w:type="paragraph" w:customStyle="1" w:styleId="MT1">
    <w:name w:val="MT1"/>
    <w:basedOn w:val="Formatvorlage1"/>
    <w:link w:val="MT1Zchn"/>
    <w:qFormat/>
    <w:rsid w:val="009F2841"/>
    <w:pPr>
      <w:numPr>
        <w:numId w:val="9"/>
      </w:numPr>
      <w:ind w:left="0" w:firstLine="0"/>
    </w:pPr>
  </w:style>
  <w:style w:type="paragraph" w:customStyle="1" w:styleId="MT2">
    <w:name w:val="MT2"/>
    <w:basedOn w:val="Els-2ndorder-head"/>
    <w:link w:val="MT2Zchn"/>
    <w:qFormat/>
    <w:rsid w:val="009F2841"/>
    <w:pPr>
      <w:numPr>
        <w:numId w:val="9"/>
      </w:numPr>
      <w:ind w:left="0" w:firstLine="0"/>
    </w:pPr>
  </w:style>
  <w:style w:type="character" w:customStyle="1" w:styleId="MT1Zchn">
    <w:name w:val="MT1 Zchn"/>
    <w:basedOn w:val="Formatvorlage1Zchn"/>
    <w:link w:val="MT1"/>
    <w:rsid w:val="009F2841"/>
    <w:rPr>
      <w:rFonts w:ascii="Times New Roman" w:eastAsia="SimSun" w:hAnsi="Times New Roman" w:cs="Times New Roman"/>
      <w:b/>
      <w:sz w:val="20"/>
      <w:szCs w:val="20"/>
      <w:lang w:val="en-US"/>
    </w:rPr>
  </w:style>
  <w:style w:type="paragraph" w:styleId="Kopfzeile">
    <w:name w:val="header"/>
    <w:basedOn w:val="Standard"/>
    <w:link w:val="KopfzeileZchn"/>
    <w:uiPriority w:val="99"/>
    <w:unhideWhenUsed/>
    <w:rsid w:val="009F2841"/>
    <w:pPr>
      <w:tabs>
        <w:tab w:val="center" w:pos="4536"/>
        <w:tab w:val="right" w:pos="9072"/>
      </w:tabs>
      <w:spacing w:after="0" w:line="240" w:lineRule="auto"/>
    </w:pPr>
  </w:style>
  <w:style w:type="character" w:customStyle="1" w:styleId="MT2Zchn">
    <w:name w:val="MT2 Zchn"/>
    <w:basedOn w:val="Els-2ndorder-headZchn"/>
    <w:link w:val="MT2"/>
    <w:rsid w:val="009F2841"/>
    <w:rPr>
      <w:rFonts w:ascii="Times New Roman" w:eastAsia="SimSun" w:hAnsi="Times New Roman" w:cs="Times New Roman"/>
      <w:i/>
      <w:sz w:val="20"/>
      <w:szCs w:val="20"/>
      <w:lang w:val="en-US"/>
    </w:rPr>
  </w:style>
  <w:style w:type="character" w:customStyle="1" w:styleId="KopfzeileZchn">
    <w:name w:val="Kopfzeile Zchn"/>
    <w:basedOn w:val="Absatz-Standardschriftart"/>
    <w:link w:val="Kopfzeile"/>
    <w:uiPriority w:val="99"/>
    <w:rsid w:val="009F2841"/>
  </w:style>
  <w:style w:type="paragraph" w:styleId="Fuzeile">
    <w:name w:val="footer"/>
    <w:basedOn w:val="Standard"/>
    <w:link w:val="FuzeileZchn"/>
    <w:uiPriority w:val="99"/>
    <w:unhideWhenUsed/>
    <w:rsid w:val="009F28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2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29033">
      <w:bodyDiv w:val="1"/>
      <w:marLeft w:val="0"/>
      <w:marRight w:val="0"/>
      <w:marTop w:val="0"/>
      <w:marBottom w:val="0"/>
      <w:divBdr>
        <w:top w:val="none" w:sz="0" w:space="0" w:color="auto"/>
        <w:left w:val="none" w:sz="0" w:space="0" w:color="auto"/>
        <w:bottom w:val="none" w:sz="0" w:space="0" w:color="auto"/>
        <w:right w:val="none" w:sz="0" w:space="0" w:color="auto"/>
      </w:divBdr>
    </w:div>
    <w:div w:id="394164652">
      <w:bodyDiv w:val="1"/>
      <w:marLeft w:val="0"/>
      <w:marRight w:val="0"/>
      <w:marTop w:val="0"/>
      <w:marBottom w:val="0"/>
      <w:divBdr>
        <w:top w:val="none" w:sz="0" w:space="0" w:color="auto"/>
        <w:left w:val="none" w:sz="0" w:space="0" w:color="auto"/>
        <w:bottom w:val="none" w:sz="0" w:space="0" w:color="auto"/>
        <w:right w:val="none" w:sz="0" w:space="0" w:color="auto"/>
      </w:divBdr>
    </w:div>
    <w:div w:id="464003567">
      <w:bodyDiv w:val="1"/>
      <w:marLeft w:val="0"/>
      <w:marRight w:val="0"/>
      <w:marTop w:val="0"/>
      <w:marBottom w:val="0"/>
      <w:divBdr>
        <w:top w:val="none" w:sz="0" w:space="0" w:color="auto"/>
        <w:left w:val="none" w:sz="0" w:space="0" w:color="auto"/>
        <w:bottom w:val="none" w:sz="0" w:space="0" w:color="auto"/>
        <w:right w:val="none" w:sz="0" w:space="0" w:color="auto"/>
      </w:divBdr>
    </w:div>
    <w:div w:id="478545031">
      <w:bodyDiv w:val="1"/>
      <w:marLeft w:val="0"/>
      <w:marRight w:val="0"/>
      <w:marTop w:val="0"/>
      <w:marBottom w:val="0"/>
      <w:divBdr>
        <w:top w:val="none" w:sz="0" w:space="0" w:color="auto"/>
        <w:left w:val="none" w:sz="0" w:space="0" w:color="auto"/>
        <w:bottom w:val="none" w:sz="0" w:space="0" w:color="auto"/>
        <w:right w:val="none" w:sz="0" w:space="0" w:color="auto"/>
      </w:divBdr>
    </w:div>
    <w:div w:id="756366747">
      <w:bodyDiv w:val="1"/>
      <w:marLeft w:val="0"/>
      <w:marRight w:val="0"/>
      <w:marTop w:val="0"/>
      <w:marBottom w:val="0"/>
      <w:divBdr>
        <w:top w:val="none" w:sz="0" w:space="0" w:color="auto"/>
        <w:left w:val="none" w:sz="0" w:space="0" w:color="auto"/>
        <w:bottom w:val="none" w:sz="0" w:space="0" w:color="auto"/>
        <w:right w:val="none" w:sz="0" w:space="0" w:color="auto"/>
      </w:divBdr>
    </w:div>
    <w:div w:id="779762186">
      <w:bodyDiv w:val="1"/>
      <w:marLeft w:val="0"/>
      <w:marRight w:val="0"/>
      <w:marTop w:val="0"/>
      <w:marBottom w:val="0"/>
      <w:divBdr>
        <w:top w:val="none" w:sz="0" w:space="0" w:color="auto"/>
        <w:left w:val="none" w:sz="0" w:space="0" w:color="auto"/>
        <w:bottom w:val="none" w:sz="0" w:space="0" w:color="auto"/>
        <w:right w:val="none" w:sz="0" w:space="0" w:color="auto"/>
      </w:divBdr>
    </w:div>
    <w:div w:id="1027172536">
      <w:bodyDiv w:val="1"/>
      <w:marLeft w:val="0"/>
      <w:marRight w:val="0"/>
      <w:marTop w:val="0"/>
      <w:marBottom w:val="0"/>
      <w:divBdr>
        <w:top w:val="none" w:sz="0" w:space="0" w:color="auto"/>
        <w:left w:val="none" w:sz="0" w:space="0" w:color="auto"/>
        <w:bottom w:val="none" w:sz="0" w:space="0" w:color="auto"/>
        <w:right w:val="none" w:sz="0" w:space="0" w:color="auto"/>
      </w:divBdr>
    </w:div>
    <w:div w:id="1239906181">
      <w:bodyDiv w:val="1"/>
      <w:marLeft w:val="0"/>
      <w:marRight w:val="0"/>
      <w:marTop w:val="0"/>
      <w:marBottom w:val="0"/>
      <w:divBdr>
        <w:top w:val="none" w:sz="0" w:space="0" w:color="auto"/>
        <w:left w:val="none" w:sz="0" w:space="0" w:color="auto"/>
        <w:bottom w:val="none" w:sz="0" w:space="0" w:color="auto"/>
        <w:right w:val="none" w:sz="0" w:space="0" w:color="auto"/>
      </w:divBdr>
    </w:div>
    <w:div w:id="1299873109">
      <w:bodyDiv w:val="1"/>
      <w:marLeft w:val="0"/>
      <w:marRight w:val="0"/>
      <w:marTop w:val="0"/>
      <w:marBottom w:val="0"/>
      <w:divBdr>
        <w:top w:val="none" w:sz="0" w:space="0" w:color="auto"/>
        <w:left w:val="none" w:sz="0" w:space="0" w:color="auto"/>
        <w:bottom w:val="none" w:sz="0" w:space="0" w:color="auto"/>
        <w:right w:val="none" w:sz="0" w:space="0" w:color="auto"/>
      </w:divBdr>
    </w:div>
    <w:div w:id="1383990107">
      <w:bodyDiv w:val="1"/>
      <w:marLeft w:val="0"/>
      <w:marRight w:val="0"/>
      <w:marTop w:val="0"/>
      <w:marBottom w:val="0"/>
      <w:divBdr>
        <w:top w:val="none" w:sz="0" w:space="0" w:color="auto"/>
        <w:left w:val="none" w:sz="0" w:space="0" w:color="auto"/>
        <w:bottom w:val="none" w:sz="0" w:space="0" w:color="auto"/>
        <w:right w:val="none" w:sz="0" w:space="0" w:color="auto"/>
      </w:divBdr>
    </w:div>
    <w:div w:id="1796823569">
      <w:bodyDiv w:val="1"/>
      <w:marLeft w:val="0"/>
      <w:marRight w:val="0"/>
      <w:marTop w:val="0"/>
      <w:marBottom w:val="0"/>
      <w:divBdr>
        <w:top w:val="none" w:sz="0" w:space="0" w:color="auto"/>
        <w:left w:val="none" w:sz="0" w:space="0" w:color="auto"/>
        <w:bottom w:val="none" w:sz="0" w:space="0" w:color="auto"/>
        <w:right w:val="none" w:sz="0" w:space="0" w:color="auto"/>
      </w:divBdr>
    </w:div>
    <w:div w:id="194938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C40D7-5C69-4F7F-AD50-B5B0220CE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8857</Words>
  <Characters>55803</Characters>
  <Application>Microsoft Office Word</Application>
  <DocSecurity>0</DocSecurity>
  <Lines>465</Lines>
  <Paragraphs>129</Paragraphs>
  <ScaleCrop>false</ScaleCrop>
  <HeadingPairs>
    <vt:vector size="2" baseType="variant">
      <vt:variant>
        <vt:lpstr>Titel</vt:lpstr>
      </vt:variant>
      <vt:variant>
        <vt:i4>1</vt:i4>
      </vt:variant>
    </vt:vector>
  </HeadingPairs>
  <TitlesOfParts>
    <vt:vector size="1" baseType="lpstr">
      <vt:lpstr/>
    </vt:vector>
  </TitlesOfParts>
  <Company>MEET</Company>
  <LinksUpToDate>false</LinksUpToDate>
  <CharactersWithSpaces>64531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Kühn, Sebastian Paul</dc:creator>
  <cp:keywords/>
  <dc:description/>
  <cp:lastModifiedBy>Cekic-Laskovic, Isidora</cp:lastModifiedBy>
  <cp:revision>12</cp:revision>
  <dcterms:created xsi:type="dcterms:W3CDTF">2022-08-25T08:08:00Z</dcterms:created>
  <dcterms:modified xsi:type="dcterms:W3CDTF">2022-08-27T16:26:00Z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http://www.zotero.org/styles/materials-today-proceedings</vt:lpwstr>
  </property>
  <property fmtid="{D5CDD505-2E9C-101B-9397-08002B2CF9AE}" pid="17" name="Mendeley Recent Style Name 7_1">
    <vt:lpwstr>Materials Today: Proceedings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cf9131b3-5884-32b3-aeed-9e5fd3193036</vt:lpwstr>
  </property>
  <property fmtid="{D5CDD505-2E9C-101B-9397-08002B2CF9AE}" pid="24" name="Mendeley Citation Style_1">
    <vt:lpwstr>http://www.zotero.org/styles/materials-today-proceedings</vt:lpwstr>
  </property>
</Properties>
</file>